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A8914" w14:textId="77777777" w:rsidR="00D7648C" w:rsidRDefault="00FF44FE" w:rsidP="00D7648C">
      <w:pPr>
        <w:tabs>
          <w:tab w:val="left" w:pos="10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Want to know about the OLNA? </w:t>
      </w:r>
    </w:p>
    <w:p w14:paraId="3399721F" w14:textId="4C48254C" w:rsidR="00893A9B" w:rsidRPr="0092394B" w:rsidRDefault="00FF44FE" w:rsidP="007F67DA">
      <w:pPr>
        <w:tabs>
          <w:tab w:val="left" w:pos="10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Some students in Years 10</w:t>
      </w:r>
      <w:r w:rsidR="00BE2417">
        <w:rPr>
          <w:rFonts w:asciiTheme="minorHAnsi" w:hAnsiTheme="minorHAnsi" w:cstheme="minorHAnsi"/>
        </w:rPr>
        <w:t xml:space="preserve">, 11 and 12 </w:t>
      </w:r>
      <w:r>
        <w:rPr>
          <w:rFonts w:asciiTheme="minorHAnsi" w:hAnsiTheme="minorHAnsi" w:cstheme="minorHAnsi"/>
        </w:rPr>
        <w:t xml:space="preserve">are about to sit the OLNA. You may have heard about it, but are not sure what it means </w:t>
      </w:r>
      <w:r w:rsidR="00431B80">
        <w:rPr>
          <w:rFonts w:asciiTheme="minorHAnsi" w:hAnsiTheme="minorHAnsi" w:cstheme="minorHAnsi"/>
        </w:rPr>
        <w:t xml:space="preserve">for </w:t>
      </w:r>
      <w:r>
        <w:rPr>
          <w:rFonts w:asciiTheme="minorHAnsi" w:hAnsiTheme="minorHAnsi" w:cstheme="minorHAnsi"/>
        </w:rPr>
        <w:t>your child.</w:t>
      </w:r>
    </w:p>
    <w:p w14:paraId="20BBEF66" w14:textId="456763F0" w:rsidR="00893A9B" w:rsidRPr="0092394B" w:rsidRDefault="00893A9B" w:rsidP="007F67DA">
      <w:pPr>
        <w:tabs>
          <w:tab w:val="left" w:pos="1080"/>
        </w:tabs>
        <w:rPr>
          <w:rFonts w:asciiTheme="minorHAnsi" w:hAnsiTheme="minorHAnsi" w:cstheme="minorHAnsi"/>
        </w:rPr>
      </w:pPr>
      <w:r w:rsidRPr="0092394B">
        <w:rPr>
          <w:rFonts w:asciiTheme="minorHAnsi" w:hAnsiTheme="minorHAnsi" w:cstheme="minorHAnsi"/>
        </w:rPr>
        <w:t xml:space="preserve">OLNA </w:t>
      </w:r>
      <w:r w:rsidR="006C0DF6">
        <w:rPr>
          <w:rFonts w:asciiTheme="minorHAnsi" w:hAnsiTheme="minorHAnsi" w:cstheme="minorHAnsi"/>
        </w:rPr>
        <w:t>stands</w:t>
      </w:r>
      <w:r w:rsidRPr="0092394B">
        <w:rPr>
          <w:rFonts w:asciiTheme="minorHAnsi" w:hAnsiTheme="minorHAnsi" w:cstheme="minorHAnsi"/>
        </w:rPr>
        <w:t xml:space="preserve"> for the Online Literacy and Numeracy Assessment</w:t>
      </w:r>
      <w:r w:rsidR="00431B80">
        <w:rPr>
          <w:rFonts w:asciiTheme="minorHAnsi" w:hAnsiTheme="minorHAnsi" w:cstheme="minorHAnsi"/>
        </w:rPr>
        <w:t xml:space="preserve">. </w:t>
      </w:r>
      <w:r w:rsidR="007C5DA3">
        <w:rPr>
          <w:rFonts w:asciiTheme="minorHAnsi" w:hAnsiTheme="minorHAnsi" w:cstheme="minorHAnsi"/>
        </w:rPr>
        <w:t>In order to</w:t>
      </w:r>
      <w:r w:rsidR="00BF5940">
        <w:rPr>
          <w:rFonts w:asciiTheme="minorHAnsi" w:hAnsiTheme="minorHAnsi" w:cstheme="minorHAnsi"/>
        </w:rPr>
        <w:t xml:space="preserve"> </w:t>
      </w:r>
      <w:r w:rsidR="007F2936">
        <w:rPr>
          <w:rFonts w:asciiTheme="minorHAnsi" w:hAnsiTheme="minorHAnsi" w:cstheme="minorHAnsi"/>
        </w:rPr>
        <w:t>demonstrate</w:t>
      </w:r>
      <w:r w:rsidRPr="0092394B">
        <w:rPr>
          <w:rFonts w:asciiTheme="minorHAnsi" w:hAnsiTheme="minorHAnsi" w:cstheme="minorHAnsi"/>
        </w:rPr>
        <w:t xml:space="preserve"> </w:t>
      </w:r>
      <w:r w:rsidR="00852D41">
        <w:rPr>
          <w:rFonts w:asciiTheme="minorHAnsi" w:hAnsiTheme="minorHAnsi" w:cstheme="minorHAnsi"/>
        </w:rPr>
        <w:t>the</w:t>
      </w:r>
      <w:r w:rsidR="00431B80">
        <w:rPr>
          <w:rFonts w:asciiTheme="minorHAnsi" w:hAnsiTheme="minorHAnsi" w:cstheme="minorHAnsi"/>
        </w:rPr>
        <w:t xml:space="preserve"> required</w:t>
      </w:r>
      <w:r w:rsidRPr="0092394B">
        <w:rPr>
          <w:rFonts w:asciiTheme="minorHAnsi" w:hAnsiTheme="minorHAnsi" w:cstheme="minorHAnsi"/>
        </w:rPr>
        <w:t xml:space="preserve"> literacy and numeracy </w:t>
      </w:r>
      <w:r w:rsidR="00431B80">
        <w:rPr>
          <w:rFonts w:asciiTheme="minorHAnsi" w:hAnsiTheme="minorHAnsi" w:cstheme="minorHAnsi"/>
        </w:rPr>
        <w:t xml:space="preserve">standards </w:t>
      </w:r>
      <w:r w:rsidRPr="0092394B">
        <w:rPr>
          <w:rFonts w:asciiTheme="minorHAnsi" w:hAnsiTheme="minorHAnsi" w:cstheme="minorHAnsi"/>
        </w:rPr>
        <w:t>for the Western Australian Certificate of Education (WACE)</w:t>
      </w:r>
      <w:r w:rsidR="007C5DA3">
        <w:rPr>
          <w:rFonts w:asciiTheme="minorHAnsi" w:hAnsiTheme="minorHAnsi" w:cstheme="minorHAnsi"/>
        </w:rPr>
        <w:t>, some students are expected to sit this assessment</w:t>
      </w:r>
      <w:r w:rsidRPr="0092394B">
        <w:rPr>
          <w:rFonts w:asciiTheme="minorHAnsi" w:hAnsiTheme="minorHAnsi" w:cstheme="minorHAnsi"/>
        </w:rPr>
        <w:t>.</w:t>
      </w:r>
      <w:r w:rsidR="00FF44FE">
        <w:rPr>
          <w:rFonts w:asciiTheme="minorHAnsi" w:hAnsiTheme="minorHAnsi" w:cstheme="minorHAnsi"/>
        </w:rPr>
        <w:t xml:space="preserve"> T</w:t>
      </w:r>
      <w:r w:rsidR="00BB6910">
        <w:rPr>
          <w:rFonts w:asciiTheme="minorHAnsi" w:hAnsiTheme="minorHAnsi" w:cstheme="minorHAnsi"/>
        </w:rPr>
        <w:t xml:space="preserve">he School Curriculum and Standards Authority </w:t>
      </w:r>
      <w:r w:rsidR="006C0DF6">
        <w:rPr>
          <w:rFonts w:asciiTheme="minorHAnsi" w:hAnsiTheme="minorHAnsi" w:cstheme="minorHAnsi"/>
        </w:rPr>
        <w:t xml:space="preserve">(Authority) </w:t>
      </w:r>
      <w:r w:rsidR="00FF44FE">
        <w:rPr>
          <w:rFonts w:asciiTheme="minorHAnsi" w:hAnsiTheme="minorHAnsi" w:cstheme="minorHAnsi"/>
        </w:rPr>
        <w:t xml:space="preserve">awards the WACE </w:t>
      </w:r>
      <w:r w:rsidRPr="0092394B">
        <w:rPr>
          <w:rFonts w:asciiTheme="minorHAnsi" w:hAnsiTheme="minorHAnsi" w:cstheme="minorHAnsi"/>
        </w:rPr>
        <w:t xml:space="preserve">at the end of Year 12 to students who </w:t>
      </w:r>
      <w:r w:rsidR="00FF44FE">
        <w:rPr>
          <w:rFonts w:asciiTheme="minorHAnsi" w:hAnsiTheme="minorHAnsi" w:cstheme="minorHAnsi"/>
        </w:rPr>
        <w:t xml:space="preserve">have met </w:t>
      </w:r>
      <w:r w:rsidRPr="0092394B">
        <w:rPr>
          <w:rFonts w:asciiTheme="minorHAnsi" w:hAnsiTheme="minorHAnsi" w:cstheme="minorHAnsi"/>
        </w:rPr>
        <w:t xml:space="preserve">all the requirements. </w:t>
      </w:r>
      <w:r w:rsidR="00FF44FE">
        <w:rPr>
          <w:rFonts w:asciiTheme="minorHAnsi" w:hAnsiTheme="minorHAnsi" w:cstheme="minorHAnsi"/>
        </w:rPr>
        <w:t xml:space="preserve">You can find more about the </w:t>
      </w:r>
      <w:r w:rsidR="00BB6910">
        <w:rPr>
          <w:rFonts w:asciiTheme="minorHAnsi" w:hAnsiTheme="minorHAnsi" w:cstheme="minorHAnsi"/>
        </w:rPr>
        <w:t>requirements</w:t>
      </w:r>
      <w:r w:rsidRPr="0092394B">
        <w:rPr>
          <w:rFonts w:asciiTheme="minorHAnsi" w:hAnsiTheme="minorHAnsi" w:cstheme="minorHAnsi"/>
        </w:rPr>
        <w:t xml:space="preserve"> on the Authority website </w:t>
      </w:r>
      <w:r w:rsidR="002C4F54">
        <w:rPr>
          <w:rFonts w:asciiTheme="minorHAnsi" w:hAnsiTheme="minorHAnsi" w:cstheme="minorHAnsi"/>
        </w:rPr>
        <w:t xml:space="preserve">at </w:t>
      </w:r>
      <w:hyperlink r:id="rId8" w:history="1">
        <w:r w:rsidRPr="0092394B">
          <w:rPr>
            <w:rStyle w:val="Hyperlink"/>
            <w:rFonts w:asciiTheme="minorHAnsi" w:hAnsiTheme="minorHAnsi" w:cstheme="minorHAnsi"/>
          </w:rPr>
          <w:t>www.scsa.wa.edu.au</w:t>
        </w:r>
      </w:hyperlink>
      <w:r w:rsidR="001B2962" w:rsidRPr="001B2962">
        <w:rPr>
          <w:rFonts w:asciiTheme="minorHAnsi" w:hAnsiTheme="minorHAnsi"/>
        </w:rPr>
        <w:t xml:space="preserve"> </w:t>
      </w:r>
      <w:r w:rsidR="001B2962">
        <w:rPr>
          <w:rFonts w:asciiTheme="minorHAnsi" w:hAnsiTheme="minorHAnsi"/>
        </w:rPr>
        <w:t xml:space="preserve">under </w:t>
      </w:r>
      <w:r w:rsidR="001B2962">
        <w:rPr>
          <w:rFonts w:asciiTheme="minorHAnsi" w:hAnsiTheme="minorHAnsi" w:cstheme="minorHAnsi"/>
        </w:rPr>
        <w:t>Years 11 and 12</w:t>
      </w:r>
      <w:r w:rsidR="001B2962" w:rsidRPr="0092394B">
        <w:rPr>
          <w:rFonts w:asciiTheme="minorHAnsi" w:hAnsiTheme="minorHAnsi" w:cstheme="minorHAnsi"/>
        </w:rPr>
        <w:t xml:space="preserve"> </w:t>
      </w:r>
      <w:r w:rsidR="001B2962">
        <w:rPr>
          <w:rFonts w:asciiTheme="minorHAnsi" w:hAnsiTheme="minorHAnsi" w:cstheme="minorHAnsi"/>
        </w:rPr>
        <w:t>&gt; The WACE &gt; WACE Requirements.</w:t>
      </w:r>
    </w:p>
    <w:p w14:paraId="64DBD140" w14:textId="333A0D82" w:rsidR="0092394B" w:rsidRDefault="006C0DF6" w:rsidP="0092394B">
      <w:pPr>
        <w:tabs>
          <w:tab w:val="left" w:pos="10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Some students pre</w:t>
      </w:r>
      <w:r w:rsidR="00FF44FE" w:rsidRPr="0092394B">
        <w:rPr>
          <w:rFonts w:asciiTheme="minorHAnsi" w:hAnsiTheme="minorHAnsi" w:cstheme="minorHAnsi"/>
        </w:rPr>
        <w:t xml:space="preserve">qualify for the literacy and numeracy requirement through their </w:t>
      </w:r>
      <w:r w:rsidR="005C0873">
        <w:rPr>
          <w:rFonts w:asciiTheme="minorHAnsi" w:hAnsiTheme="minorHAnsi" w:cstheme="minorHAnsi"/>
        </w:rPr>
        <w:t xml:space="preserve">performance in the </w:t>
      </w:r>
      <w:r w:rsidR="00FF44FE" w:rsidRPr="0092394B">
        <w:rPr>
          <w:rFonts w:asciiTheme="minorHAnsi" w:hAnsiTheme="minorHAnsi" w:cstheme="minorHAnsi"/>
        </w:rPr>
        <w:t>Year 9 NAPLAN</w:t>
      </w:r>
      <w:r w:rsidR="005C0873">
        <w:rPr>
          <w:rFonts w:asciiTheme="minorHAnsi" w:hAnsiTheme="minorHAnsi" w:cstheme="minorHAnsi"/>
        </w:rPr>
        <w:t xml:space="preserve"> test</w:t>
      </w:r>
      <w:r w:rsidR="00FF44FE" w:rsidRPr="0092394B">
        <w:rPr>
          <w:rFonts w:asciiTheme="minorHAnsi" w:hAnsiTheme="minorHAnsi" w:cstheme="minorHAnsi"/>
        </w:rPr>
        <w:t>.</w:t>
      </w:r>
      <w:r w:rsidR="00FF44FE">
        <w:rPr>
          <w:rFonts w:asciiTheme="minorHAnsi" w:hAnsiTheme="minorHAnsi" w:cstheme="minorHAnsi"/>
        </w:rPr>
        <w:t xml:space="preserve"> We will inform you whether your child needs to the sit the O</w:t>
      </w:r>
      <w:r w:rsidR="004275AD">
        <w:rPr>
          <w:rFonts w:asciiTheme="minorHAnsi" w:hAnsiTheme="minorHAnsi" w:cstheme="minorHAnsi"/>
        </w:rPr>
        <w:t>LNA</w:t>
      </w:r>
      <w:r w:rsidR="00FF44FE">
        <w:rPr>
          <w:rFonts w:asciiTheme="minorHAnsi" w:hAnsiTheme="minorHAnsi" w:cstheme="minorHAnsi"/>
        </w:rPr>
        <w:t xml:space="preserve">, which is </w:t>
      </w:r>
      <w:r w:rsidR="0092394B" w:rsidRPr="0092394B">
        <w:rPr>
          <w:rFonts w:asciiTheme="minorHAnsi" w:hAnsiTheme="minorHAnsi" w:cstheme="minorHAnsi"/>
        </w:rPr>
        <w:t xml:space="preserve">held in March and September each year, starting in Year 10. This means students will have up to six opportunities before the end of Year 12 to </w:t>
      </w:r>
      <w:r w:rsidR="00852D41">
        <w:rPr>
          <w:rFonts w:asciiTheme="minorHAnsi" w:hAnsiTheme="minorHAnsi" w:cstheme="minorHAnsi"/>
        </w:rPr>
        <w:t>meet the requirement</w:t>
      </w:r>
      <w:r w:rsidR="00E91C08">
        <w:rPr>
          <w:rFonts w:asciiTheme="minorHAnsi" w:hAnsiTheme="minorHAnsi" w:cstheme="minorHAnsi"/>
        </w:rPr>
        <w:t>.</w:t>
      </w:r>
    </w:p>
    <w:p w14:paraId="5FF7831A" w14:textId="1162B1C8" w:rsidR="00397B09" w:rsidRPr="0092394B" w:rsidRDefault="00C2511A" w:rsidP="0092394B">
      <w:pPr>
        <w:tabs>
          <w:tab w:val="left" w:pos="1080"/>
        </w:tabs>
        <w:rPr>
          <w:rFonts w:asciiTheme="minorHAnsi" w:hAnsiTheme="minorHAnsi" w:cstheme="minorHAnsi"/>
        </w:rPr>
      </w:pPr>
      <w:r w:rsidRPr="0092394B">
        <w:rPr>
          <w:rFonts w:asciiTheme="minorHAnsi" w:hAnsiTheme="minorHAnsi" w:cstheme="minorHAnsi"/>
        </w:rPr>
        <w:t>The</w:t>
      </w:r>
      <w:r w:rsidR="00702DD0" w:rsidRPr="0092394B">
        <w:rPr>
          <w:rFonts w:asciiTheme="minorHAnsi" w:hAnsiTheme="minorHAnsi" w:cstheme="minorHAnsi"/>
        </w:rPr>
        <w:t xml:space="preserve"> OLNA has </w:t>
      </w:r>
      <w:r w:rsidR="00D7648C" w:rsidRPr="0092394B">
        <w:rPr>
          <w:rFonts w:asciiTheme="minorHAnsi" w:hAnsiTheme="minorHAnsi" w:cstheme="minorHAnsi"/>
        </w:rPr>
        <w:t>three components</w:t>
      </w:r>
      <w:r w:rsidR="003D670D">
        <w:rPr>
          <w:rFonts w:asciiTheme="minorHAnsi" w:hAnsiTheme="minorHAnsi" w:cstheme="minorHAnsi"/>
        </w:rPr>
        <w:t>—</w:t>
      </w:r>
      <w:r w:rsidR="00D7648C" w:rsidRPr="0092394B">
        <w:rPr>
          <w:rFonts w:asciiTheme="minorHAnsi" w:hAnsiTheme="minorHAnsi" w:cstheme="minorHAnsi"/>
        </w:rPr>
        <w:t xml:space="preserve">reading, writing and numeracy. </w:t>
      </w:r>
      <w:r w:rsidR="00397B09" w:rsidRPr="0092394B">
        <w:rPr>
          <w:rFonts w:asciiTheme="minorHAnsi" w:hAnsiTheme="minorHAnsi" w:cstheme="minorHAnsi"/>
        </w:rPr>
        <w:t xml:space="preserve">The reading and numeracy components comprise </w:t>
      </w:r>
      <w:r w:rsidR="00BE2417">
        <w:rPr>
          <w:rFonts w:asciiTheme="minorHAnsi" w:hAnsiTheme="minorHAnsi" w:cstheme="minorHAnsi"/>
        </w:rPr>
        <w:t>45</w:t>
      </w:r>
      <w:r w:rsidR="00397B09" w:rsidRPr="0092394B">
        <w:rPr>
          <w:rFonts w:asciiTheme="minorHAnsi" w:hAnsiTheme="minorHAnsi" w:cstheme="minorHAnsi"/>
        </w:rPr>
        <w:t xml:space="preserve"> multiple‐choice questions; the writing component is an extended response of up to 600 words. Students </w:t>
      </w:r>
      <w:r w:rsidR="0092394B">
        <w:rPr>
          <w:rFonts w:asciiTheme="minorHAnsi" w:hAnsiTheme="minorHAnsi" w:cstheme="minorHAnsi"/>
        </w:rPr>
        <w:t xml:space="preserve">are </w:t>
      </w:r>
      <w:r w:rsidR="00397B09" w:rsidRPr="0092394B">
        <w:rPr>
          <w:rFonts w:asciiTheme="minorHAnsi" w:hAnsiTheme="minorHAnsi" w:cstheme="minorHAnsi"/>
        </w:rPr>
        <w:t xml:space="preserve">allowed </w:t>
      </w:r>
      <w:r w:rsidR="00BE2417">
        <w:rPr>
          <w:rFonts w:asciiTheme="minorHAnsi" w:hAnsiTheme="minorHAnsi" w:cstheme="minorHAnsi"/>
        </w:rPr>
        <w:t xml:space="preserve">50 minutes for the reading and numeracy components and </w:t>
      </w:r>
      <w:r w:rsidR="00397B09" w:rsidRPr="0092394B">
        <w:rPr>
          <w:rFonts w:asciiTheme="minorHAnsi" w:hAnsiTheme="minorHAnsi" w:cstheme="minorHAnsi"/>
        </w:rPr>
        <w:t xml:space="preserve">60 minutes for </w:t>
      </w:r>
      <w:r w:rsidR="00BE2417">
        <w:rPr>
          <w:rFonts w:asciiTheme="minorHAnsi" w:hAnsiTheme="minorHAnsi" w:cstheme="minorHAnsi"/>
        </w:rPr>
        <w:t>the writing</w:t>
      </w:r>
      <w:r w:rsidR="00397B09" w:rsidRPr="0092394B">
        <w:rPr>
          <w:rFonts w:asciiTheme="minorHAnsi" w:hAnsiTheme="minorHAnsi" w:cstheme="minorHAnsi"/>
        </w:rPr>
        <w:t xml:space="preserve">. The table below provides </w:t>
      </w:r>
      <w:r w:rsidR="00431B80">
        <w:rPr>
          <w:rFonts w:asciiTheme="minorHAnsi" w:hAnsiTheme="minorHAnsi" w:cstheme="minorHAnsi"/>
        </w:rPr>
        <w:t xml:space="preserve">an overview of the </w:t>
      </w:r>
      <w:r w:rsidR="00397B09" w:rsidRPr="0092394B">
        <w:rPr>
          <w:rFonts w:asciiTheme="minorHAnsi" w:hAnsiTheme="minorHAnsi" w:cstheme="minorHAnsi"/>
        </w:rPr>
        <w:t>component</w:t>
      </w:r>
      <w:r w:rsidR="00431B80">
        <w:rPr>
          <w:rFonts w:asciiTheme="minorHAnsi" w:hAnsiTheme="minorHAnsi" w:cstheme="minorHAnsi"/>
        </w:rPr>
        <w:t>s</w:t>
      </w:r>
      <w:r w:rsidR="00397B09" w:rsidRPr="0092394B">
        <w:rPr>
          <w:rFonts w:asciiTheme="minorHAnsi" w:hAnsiTheme="minorHAnsi" w:cstheme="minorHAnsi"/>
        </w:rPr>
        <w:t>.</w:t>
      </w:r>
    </w:p>
    <w:p w14:paraId="356D6A24" w14:textId="77777777" w:rsidR="00397B09" w:rsidRPr="0092394B" w:rsidRDefault="00397B09" w:rsidP="00397B09">
      <w:p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</w:p>
    <w:tbl>
      <w:tblPr>
        <w:tblW w:w="9072" w:type="dxa"/>
        <w:tblInd w:w="14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97"/>
        <w:gridCol w:w="1631"/>
        <w:gridCol w:w="1842"/>
        <w:gridCol w:w="3402"/>
      </w:tblGrid>
      <w:tr w:rsidR="00397B09" w:rsidRPr="0092394B" w14:paraId="3F6E94AA" w14:textId="77777777" w:rsidTr="00C01AE7">
        <w:trPr>
          <w:trHeight w:val="284"/>
        </w:trPr>
        <w:tc>
          <w:tcPr>
            <w:tcW w:w="219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080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8DBDEC" w14:textId="77777777" w:rsidR="00397B09" w:rsidRPr="0092394B" w:rsidRDefault="00397B09" w:rsidP="00C01AE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080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BBCE37" w14:textId="77777777" w:rsidR="00397B09" w:rsidRPr="0092394B" w:rsidRDefault="00397B09" w:rsidP="00C01AE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2394B">
              <w:rPr>
                <w:rFonts w:asciiTheme="minorHAnsi" w:hAnsiTheme="minorHAnsi" w:cstheme="minorHAnsi"/>
                <w:b/>
                <w:bCs/>
                <w:color w:val="FFFFFF" w:themeColor="light1"/>
                <w:kern w:val="24"/>
              </w:rPr>
              <w:t>Numeracy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080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E2F8C2" w14:textId="77777777" w:rsidR="00397B09" w:rsidRPr="0092394B" w:rsidRDefault="00397B09" w:rsidP="00C01AE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2394B">
              <w:rPr>
                <w:rFonts w:asciiTheme="minorHAnsi" w:hAnsiTheme="minorHAnsi" w:cstheme="minorHAnsi"/>
                <w:b/>
                <w:bCs/>
                <w:color w:val="FFFFFF" w:themeColor="light1"/>
                <w:kern w:val="24"/>
              </w:rPr>
              <w:t>Reading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080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6E1027" w14:textId="77777777" w:rsidR="00397B09" w:rsidRPr="0092394B" w:rsidRDefault="00397B09" w:rsidP="00C01AE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2394B">
              <w:rPr>
                <w:rFonts w:asciiTheme="minorHAnsi" w:hAnsiTheme="minorHAnsi" w:cstheme="minorHAnsi"/>
                <w:b/>
                <w:bCs/>
                <w:color w:val="FFFFFF" w:themeColor="light1"/>
                <w:kern w:val="24"/>
              </w:rPr>
              <w:t>Writing</w:t>
            </w:r>
          </w:p>
        </w:tc>
      </w:tr>
      <w:tr w:rsidR="00397B09" w:rsidRPr="0092394B" w14:paraId="438CBB36" w14:textId="77777777" w:rsidTr="00C01AE7">
        <w:trPr>
          <w:trHeight w:val="284"/>
        </w:trPr>
        <w:tc>
          <w:tcPr>
            <w:tcW w:w="219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8D8"/>
            <w:tcMar>
              <w:top w:w="57" w:type="dxa"/>
              <w:left w:w="144" w:type="dxa"/>
              <w:bottom w:w="57" w:type="dxa"/>
              <w:right w:w="144" w:type="dxa"/>
            </w:tcMar>
            <w:vAlign w:val="center"/>
            <w:hideMark/>
          </w:tcPr>
          <w:p w14:paraId="104A1833" w14:textId="77777777" w:rsidR="00397B09" w:rsidRPr="0092394B" w:rsidRDefault="00397B09" w:rsidP="00C01AE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2394B">
              <w:rPr>
                <w:rFonts w:asciiTheme="minorHAnsi" w:hAnsiTheme="minorHAnsi" w:cstheme="minorHAnsi"/>
                <w:color w:val="000000" w:themeColor="dark1"/>
                <w:kern w:val="24"/>
              </w:rPr>
              <w:t>Number of Questions</w:t>
            </w:r>
          </w:p>
        </w:tc>
        <w:tc>
          <w:tcPr>
            <w:tcW w:w="3473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8D8"/>
            <w:tcMar>
              <w:top w:w="57" w:type="dxa"/>
              <w:left w:w="144" w:type="dxa"/>
              <w:bottom w:w="57" w:type="dxa"/>
              <w:right w:w="144" w:type="dxa"/>
            </w:tcMar>
            <w:vAlign w:val="center"/>
            <w:hideMark/>
          </w:tcPr>
          <w:p w14:paraId="058F1939" w14:textId="77777777" w:rsidR="00397B09" w:rsidRPr="0092394B" w:rsidRDefault="00BE2417" w:rsidP="00C01AE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dark1"/>
                <w:kern w:val="24"/>
              </w:rPr>
              <w:t>45</w:t>
            </w:r>
          </w:p>
        </w:tc>
        <w:tc>
          <w:tcPr>
            <w:tcW w:w="34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8D8"/>
            <w:tcMar>
              <w:top w:w="57" w:type="dxa"/>
              <w:left w:w="144" w:type="dxa"/>
              <w:bottom w:w="57" w:type="dxa"/>
              <w:right w:w="144" w:type="dxa"/>
            </w:tcMar>
            <w:vAlign w:val="center"/>
            <w:hideMark/>
          </w:tcPr>
          <w:p w14:paraId="5DC75820" w14:textId="77777777" w:rsidR="00397B09" w:rsidRPr="0092394B" w:rsidRDefault="00397B09" w:rsidP="00C01AE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2394B">
              <w:rPr>
                <w:rFonts w:asciiTheme="minorHAnsi" w:hAnsiTheme="minorHAnsi" w:cstheme="minorHAnsi"/>
                <w:color w:val="000000" w:themeColor="dark1"/>
                <w:kern w:val="24"/>
              </w:rPr>
              <w:t>1 (600 word limit)</w:t>
            </w:r>
          </w:p>
        </w:tc>
      </w:tr>
      <w:tr w:rsidR="00397B09" w:rsidRPr="0092394B" w14:paraId="3349BB58" w14:textId="77777777" w:rsidTr="00C01AE7">
        <w:trPr>
          <w:trHeight w:val="227"/>
        </w:trPr>
        <w:tc>
          <w:tcPr>
            <w:tcW w:w="21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DE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F6DC90" w14:textId="77777777" w:rsidR="00397B09" w:rsidRPr="0092394B" w:rsidRDefault="00397B09" w:rsidP="00C01AE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2394B">
              <w:rPr>
                <w:rFonts w:asciiTheme="minorHAnsi" w:hAnsiTheme="minorHAnsi" w:cstheme="minorHAnsi"/>
                <w:color w:val="000000" w:themeColor="dark1"/>
                <w:kern w:val="24"/>
              </w:rPr>
              <w:t>Question type</w:t>
            </w:r>
          </w:p>
        </w:tc>
        <w:tc>
          <w:tcPr>
            <w:tcW w:w="347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DE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7840E8" w14:textId="77777777" w:rsidR="00397B09" w:rsidRPr="0092394B" w:rsidRDefault="00397B09" w:rsidP="00C01AE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2394B">
              <w:rPr>
                <w:rFonts w:asciiTheme="minorHAnsi" w:hAnsiTheme="minorHAnsi" w:cstheme="minorHAnsi"/>
                <w:color w:val="000000" w:themeColor="dark1"/>
                <w:kern w:val="24"/>
              </w:rPr>
              <w:t>Multiple-choice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DE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5EA76B" w14:textId="77777777" w:rsidR="00397B09" w:rsidRPr="0092394B" w:rsidRDefault="00397B09" w:rsidP="00C01AE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2394B">
              <w:rPr>
                <w:rFonts w:asciiTheme="minorHAnsi" w:hAnsiTheme="minorHAnsi" w:cstheme="minorHAnsi"/>
                <w:color w:val="000000" w:themeColor="dark1"/>
                <w:kern w:val="24"/>
              </w:rPr>
              <w:t>Open-ended</w:t>
            </w:r>
          </w:p>
        </w:tc>
      </w:tr>
      <w:tr w:rsidR="00397B09" w:rsidRPr="0092394B" w14:paraId="79ADD13A" w14:textId="77777777" w:rsidTr="00C01AE7">
        <w:trPr>
          <w:trHeight w:val="227"/>
        </w:trPr>
        <w:tc>
          <w:tcPr>
            <w:tcW w:w="21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8D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A4ED92" w14:textId="77777777" w:rsidR="00397B09" w:rsidRPr="0092394B" w:rsidRDefault="00397B09" w:rsidP="00C01AE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2394B">
              <w:rPr>
                <w:rFonts w:asciiTheme="minorHAnsi" w:hAnsiTheme="minorHAnsi" w:cstheme="minorHAnsi"/>
                <w:color w:val="000000" w:themeColor="dark1"/>
                <w:kern w:val="24"/>
              </w:rPr>
              <w:t>Mode</w:t>
            </w:r>
          </w:p>
        </w:tc>
        <w:tc>
          <w:tcPr>
            <w:tcW w:w="347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8D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3AC246" w14:textId="77777777" w:rsidR="00397B09" w:rsidRPr="0092394B" w:rsidRDefault="00397B09" w:rsidP="00C01AE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2394B">
              <w:rPr>
                <w:rFonts w:asciiTheme="minorHAnsi" w:hAnsiTheme="minorHAnsi" w:cstheme="minorHAnsi"/>
                <w:color w:val="000000" w:themeColor="dark1"/>
                <w:kern w:val="24"/>
              </w:rPr>
              <w:t>Online point and click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8D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3BAECD" w14:textId="77777777" w:rsidR="00397B09" w:rsidRPr="0092394B" w:rsidRDefault="00397B09" w:rsidP="00C01AE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2394B">
              <w:rPr>
                <w:rFonts w:asciiTheme="minorHAnsi" w:hAnsiTheme="minorHAnsi" w:cstheme="minorHAnsi"/>
                <w:color w:val="000000" w:themeColor="dark1"/>
                <w:kern w:val="24"/>
              </w:rPr>
              <w:t>Typed online</w:t>
            </w:r>
          </w:p>
        </w:tc>
      </w:tr>
      <w:tr w:rsidR="00BE2417" w:rsidRPr="0092394B" w14:paraId="17D78ED0" w14:textId="77777777" w:rsidTr="00C01AE7">
        <w:trPr>
          <w:trHeight w:val="227"/>
        </w:trPr>
        <w:tc>
          <w:tcPr>
            <w:tcW w:w="21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DE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408759" w14:textId="77777777" w:rsidR="00BE2417" w:rsidRPr="0092394B" w:rsidRDefault="00BE2417" w:rsidP="00C01AE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2394B">
              <w:rPr>
                <w:rFonts w:asciiTheme="minorHAnsi" w:hAnsiTheme="minorHAnsi" w:cstheme="minorHAnsi"/>
                <w:color w:val="000000" w:themeColor="dark1"/>
                <w:kern w:val="24"/>
              </w:rPr>
              <w:t>Time</w:t>
            </w:r>
          </w:p>
        </w:tc>
        <w:tc>
          <w:tcPr>
            <w:tcW w:w="347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DE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951CBF" w14:textId="77777777" w:rsidR="00BE2417" w:rsidRPr="0092394B" w:rsidRDefault="00E91C08" w:rsidP="00C01AE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 minutes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DED"/>
            <w:vAlign w:val="center"/>
          </w:tcPr>
          <w:p w14:paraId="5D7CCD29" w14:textId="77777777" w:rsidR="00BE2417" w:rsidRPr="0092394B" w:rsidRDefault="00E91C08" w:rsidP="00C01AE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dark1"/>
                <w:kern w:val="24"/>
              </w:rPr>
              <w:t>60 minutes</w:t>
            </w:r>
          </w:p>
        </w:tc>
      </w:tr>
      <w:tr w:rsidR="00397B09" w:rsidRPr="0092394B" w14:paraId="376CD0D5" w14:textId="77777777" w:rsidTr="00C01AE7">
        <w:trPr>
          <w:trHeight w:val="227"/>
        </w:trPr>
        <w:tc>
          <w:tcPr>
            <w:tcW w:w="21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8D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8E9123" w14:textId="77777777" w:rsidR="00397B09" w:rsidRPr="0092394B" w:rsidRDefault="00397B09" w:rsidP="00C01AE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2394B">
              <w:rPr>
                <w:rFonts w:asciiTheme="minorHAnsi" w:hAnsiTheme="minorHAnsi" w:cstheme="minorHAnsi"/>
                <w:color w:val="000000" w:themeColor="dark1"/>
                <w:kern w:val="24"/>
              </w:rPr>
              <w:t>Delivery</w:t>
            </w:r>
          </w:p>
        </w:tc>
        <w:tc>
          <w:tcPr>
            <w:tcW w:w="347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8D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62C1CF" w14:textId="649A189D" w:rsidR="00397B09" w:rsidRPr="0092394B" w:rsidRDefault="00397B09" w:rsidP="00C01AE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2394B">
              <w:rPr>
                <w:rFonts w:asciiTheme="minorHAnsi" w:hAnsiTheme="minorHAnsi" w:cstheme="minorHAnsi"/>
                <w:color w:val="000000" w:themeColor="dark1"/>
                <w:kern w:val="24"/>
              </w:rPr>
              <w:t>Randomised forms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8D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B1F0BA" w14:textId="4FA03E0C" w:rsidR="00397B09" w:rsidRPr="0092394B" w:rsidRDefault="00397B09" w:rsidP="00C01AE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2394B">
              <w:rPr>
                <w:rFonts w:asciiTheme="minorHAnsi" w:hAnsiTheme="minorHAnsi" w:cstheme="minorHAnsi"/>
                <w:color w:val="000000" w:themeColor="dark1"/>
                <w:kern w:val="24"/>
              </w:rPr>
              <w:t>Randomised forms</w:t>
            </w:r>
          </w:p>
        </w:tc>
      </w:tr>
      <w:tr w:rsidR="00397B09" w:rsidRPr="0092394B" w14:paraId="156C1025" w14:textId="77777777" w:rsidTr="00C01AE7">
        <w:trPr>
          <w:trHeight w:val="227"/>
        </w:trPr>
        <w:tc>
          <w:tcPr>
            <w:tcW w:w="21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DE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945D3C" w14:textId="77777777" w:rsidR="00397B09" w:rsidRPr="0092394B" w:rsidRDefault="00397B09" w:rsidP="00C01AE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2394B">
              <w:rPr>
                <w:rFonts w:asciiTheme="minorHAnsi" w:hAnsiTheme="minorHAnsi" w:cstheme="minorHAnsi"/>
                <w:color w:val="000000" w:themeColor="dark1"/>
                <w:kern w:val="24"/>
              </w:rPr>
              <w:t>Adjustments</w:t>
            </w:r>
          </w:p>
        </w:tc>
        <w:tc>
          <w:tcPr>
            <w:tcW w:w="687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DE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C9A92E" w14:textId="77777777" w:rsidR="00397B09" w:rsidRPr="0092394B" w:rsidRDefault="00313416" w:rsidP="00C01AE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dark1"/>
                <w:kern w:val="24"/>
              </w:rPr>
              <w:t>Extra time, pause, coloured background and higher quality images</w:t>
            </w:r>
          </w:p>
        </w:tc>
      </w:tr>
    </w:tbl>
    <w:p w14:paraId="6DB42B63" w14:textId="77777777" w:rsidR="0092394B" w:rsidRDefault="0092394B" w:rsidP="0092394B">
      <w:pPr>
        <w:tabs>
          <w:tab w:val="left" w:pos="1080"/>
        </w:tabs>
        <w:rPr>
          <w:rFonts w:asciiTheme="minorHAnsi" w:hAnsiTheme="minorHAnsi" w:cstheme="minorHAnsi"/>
        </w:rPr>
      </w:pPr>
    </w:p>
    <w:p w14:paraId="33F16DE6" w14:textId="49B111FA" w:rsidR="0092394B" w:rsidRPr="0092394B" w:rsidRDefault="0092394B" w:rsidP="0092394B">
      <w:pPr>
        <w:tabs>
          <w:tab w:val="left" w:pos="1080"/>
        </w:tabs>
        <w:rPr>
          <w:rFonts w:asciiTheme="minorHAnsi" w:hAnsiTheme="minorHAnsi"/>
        </w:rPr>
      </w:pPr>
      <w:r w:rsidRPr="0092394B">
        <w:rPr>
          <w:rFonts w:asciiTheme="minorHAnsi" w:hAnsiTheme="minorHAnsi"/>
        </w:rPr>
        <w:t>To prepare</w:t>
      </w:r>
      <w:r w:rsidR="00FF44FE">
        <w:rPr>
          <w:rFonts w:asciiTheme="minorHAnsi" w:hAnsiTheme="minorHAnsi"/>
        </w:rPr>
        <w:t xml:space="preserve"> our</w:t>
      </w:r>
      <w:r w:rsidRPr="0092394B">
        <w:rPr>
          <w:rFonts w:asciiTheme="minorHAnsi" w:hAnsiTheme="minorHAnsi"/>
        </w:rPr>
        <w:t xml:space="preserve"> students for the </w:t>
      </w:r>
      <w:r w:rsidR="00431B80">
        <w:rPr>
          <w:rFonts w:asciiTheme="minorHAnsi" w:hAnsiTheme="minorHAnsi"/>
        </w:rPr>
        <w:t xml:space="preserve">types </w:t>
      </w:r>
      <w:r w:rsidRPr="0092394B">
        <w:rPr>
          <w:rFonts w:asciiTheme="minorHAnsi" w:hAnsiTheme="minorHAnsi"/>
        </w:rPr>
        <w:t>of questions they can expect and to familiarise them with the online assessment</w:t>
      </w:r>
      <w:r w:rsidR="005C0873">
        <w:rPr>
          <w:rFonts w:asciiTheme="minorHAnsi" w:hAnsiTheme="minorHAnsi"/>
        </w:rPr>
        <w:t xml:space="preserve"> </w:t>
      </w:r>
      <w:r w:rsidR="007F2936">
        <w:rPr>
          <w:rFonts w:asciiTheme="minorHAnsi" w:hAnsiTheme="minorHAnsi"/>
        </w:rPr>
        <w:t>platform</w:t>
      </w:r>
      <w:r w:rsidRPr="0092394B">
        <w:rPr>
          <w:rFonts w:asciiTheme="minorHAnsi" w:hAnsiTheme="minorHAnsi"/>
        </w:rPr>
        <w:t xml:space="preserve">, </w:t>
      </w:r>
      <w:r w:rsidR="006C0DF6">
        <w:rPr>
          <w:rFonts w:asciiTheme="minorHAnsi" w:hAnsiTheme="minorHAnsi"/>
        </w:rPr>
        <w:t xml:space="preserve">we </w:t>
      </w:r>
      <w:r w:rsidR="005C0873">
        <w:rPr>
          <w:rFonts w:asciiTheme="minorHAnsi" w:hAnsiTheme="minorHAnsi"/>
        </w:rPr>
        <w:t xml:space="preserve">provide </w:t>
      </w:r>
      <w:r w:rsidRPr="0092394B">
        <w:rPr>
          <w:rFonts w:asciiTheme="minorHAnsi" w:hAnsiTheme="minorHAnsi"/>
        </w:rPr>
        <w:t xml:space="preserve">access </w:t>
      </w:r>
      <w:r w:rsidR="005C0873">
        <w:rPr>
          <w:rFonts w:asciiTheme="minorHAnsi" w:hAnsiTheme="minorHAnsi"/>
        </w:rPr>
        <w:t xml:space="preserve">to </w:t>
      </w:r>
      <w:r w:rsidRPr="0092394B">
        <w:rPr>
          <w:rFonts w:asciiTheme="minorHAnsi" w:hAnsiTheme="minorHAnsi"/>
        </w:rPr>
        <w:t xml:space="preserve">practice </w:t>
      </w:r>
      <w:r w:rsidR="00BE2417">
        <w:rPr>
          <w:rFonts w:asciiTheme="minorHAnsi" w:hAnsiTheme="minorHAnsi"/>
        </w:rPr>
        <w:t xml:space="preserve">and example </w:t>
      </w:r>
      <w:r w:rsidRPr="0092394B">
        <w:rPr>
          <w:rFonts w:asciiTheme="minorHAnsi" w:hAnsiTheme="minorHAnsi"/>
        </w:rPr>
        <w:t>test</w:t>
      </w:r>
      <w:r w:rsidR="00BE2417">
        <w:rPr>
          <w:rFonts w:asciiTheme="minorHAnsi" w:hAnsiTheme="minorHAnsi"/>
        </w:rPr>
        <w:t>s</w:t>
      </w:r>
      <w:r w:rsidR="00E91C08">
        <w:rPr>
          <w:rFonts w:asciiTheme="minorHAnsi" w:hAnsiTheme="minorHAnsi"/>
        </w:rPr>
        <w:t xml:space="preserve"> on a secure website.</w:t>
      </w:r>
      <w:r w:rsidR="006C0DF6">
        <w:rPr>
          <w:rFonts w:asciiTheme="minorHAnsi" w:hAnsiTheme="minorHAnsi"/>
        </w:rPr>
        <w:t xml:space="preserve"> The link to the secure website for </w:t>
      </w:r>
      <w:r w:rsidR="00431B80">
        <w:rPr>
          <w:rFonts w:asciiTheme="minorHAnsi" w:hAnsiTheme="minorHAnsi"/>
        </w:rPr>
        <w:t xml:space="preserve">the </w:t>
      </w:r>
      <w:r w:rsidR="006C0DF6">
        <w:rPr>
          <w:rFonts w:asciiTheme="minorHAnsi" w:hAnsiTheme="minorHAnsi"/>
        </w:rPr>
        <w:t>practice and example test</w:t>
      </w:r>
      <w:r w:rsidR="00431B80">
        <w:rPr>
          <w:rFonts w:asciiTheme="minorHAnsi" w:hAnsiTheme="minorHAnsi"/>
        </w:rPr>
        <w:t>s</w:t>
      </w:r>
      <w:r w:rsidR="006C0DF6">
        <w:rPr>
          <w:rFonts w:asciiTheme="minorHAnsi" w:hAnsiTheme="minorHAnsi"/>
        </w:rPr>
        <w:t xml:space="preserve"> is available on the Authority website at </w:t>
      </w:r>
      <w:hyperlink r:id="rId9" w:history="1">
        <w:r w:rsidR="006C0DF6" w:rsidRPr="00882CA8">
          <w:rPr>
            <w:rStyle w:val="Hyperlink"/>
            <w:rFonts w:asciiTheme="minorHAnsi" w:hAnsiTheme="minorHAnsi"/>
          </w:rPr>
          <w:t>www.scsa.wa.edu.au</w:t>
        </w:r>
      </w:hyperlink>
      <w:r w:rsidR="006C0DF6">
        <w:rPr>
          <w:rFonts w:asciiTheme="minorHAnsi" w:hAnsiTheme="minorHAnsi"/>
        </w:rPr>
        <w:t xml:space="preserve"> under </w:t>
      </w:r>
      <w:r w:rsidR="00852D41">
        <w:rPr>
          <w:rFonts w:asciiTheme="minorHAnsi" w:hAnsiTheme="minorHAnsi" w:cstheme="minorHAnsi"/>
        </w:rPr>
        <w:t>Years</w:t>
      </w:r>
      <w:r w:rsidR="003D670D">
        <w:rPr>
          <w:rFonts w:asciiTheme="minorHAnsi" w:hAnsiTheme="minorHAnsi" w:cstheme="minorHAnsi"/>
        </w:rPr>
        <w:t> </w:t>
      </w:r>
      <w:r w:rsidR="00852D41">
        <w:rPr>
          <w:rFonts w:asciiTheme="minorHAnsi" w:hAnsiTheme="minorHAnsi" w:cstheme="minorHAnsi"/>
        </w:rPr>
        <w:t>11</w:t>
      </w:r>
      <w:r w:rsidR="003D670D">
        <w:rPr>
          <w:rFonts w:asciiTheme="minorHAnsi" w:hAnsiTheme="minorHAnsi" w:cstheme="minorHAnsi"/>
        </w:rPr>
        <w:t> </w:t>
      </w:r>
      <w:r w:rsidR="00852D41">
        <w:rPr>
          <w:rFonts w:asciiTheme="minorHAnsi" w:hAnsiTheme="minorHAnsi" w:cstheme="minorHAnsi"/>
        </w:rPr>
        <w:t>and</w:t>
      </w:r>
      <w:r w:rsidR="003D670D">
        <w:rPr>
          <w:rFonts w:asciiTheme="minorHAnsi" w:hAnsiTheme="minorHAnsi" w:cstheme="minorHAnsi"/>
        </w:rPr>
        <w:t> </w:t>
      </w:r>
      <w:r w:rsidR="00852D41">
        <w:rPr>
          <w:rFonts w:asciiTheme="minorHAnsi" w:hAnsiTheme="minorHAnsi" w:cstheme="minorHAnsi"/>
        </w:rPr>
        <w:t>12</w:t>
      </w:r>
      <w:r w:rsidR="006C0DF6" w:rsidRPr="0092394B">
        <w:rPr>
          <w:rFonts w:asciiTheme="minorHAnsi" w:hAnsiTheme="minorHAnsi" w:cstheme="minorHAnsi"/>
        </w:rPr>
        <w:t xml:space="preserve"> </w:t>
      </w:r>
      <w:r w:rsidR="006C0DF6">
        <w:rPr>
          <w:rFonts w:asciiTheme="minorHAnsi" w:hAnsiTheme="minorHAnsi" w:cstheme="minorHAnsi"/>
        </w:rPr>
        <w:t xml:space="preserve">&gt; </w:t>
      </w:r>
      <w:r w:rsidR="00852D41">
        <w:rPr>
          <w:rFonts w:asciiTheme="minorHAnsi" w:hAnsiTheme="minorHAnsi" w:cstheme="minorHAnsi"/>
        </w:rPr>
        <w:t>Assessment &gt; OLNA</w:t>
      </w:r>
      <w:r w:rsidR="006C0DF6">
        <w:rPr>
          <w:rFonts w:asciiTheme="minorHAnsi" w:hAnsiTheme="minorHAnsi" w:cstheme="minorHAnsi"/>
        </w:rPr>
        <w:t xml:space="preserve"> &gt; </w:t>
      </w:r>
      <w:r w:rsidR="00852D41">
        <w:rPr>
          <w:rFonts w:asciiTheme="minorHAnsi" w:hAnsiTheme="minorHAnsi" w:cstheme="minorHAnsi"/>
        </w:rPr>
        <w:t>Practice</w:t>
      </w:r>
      <w:r w:rsidR="003D670D">
        <w:rPr>
          <w:rFonts w:asciiTheme="minorHAnsi" w:hAnsiTheme="minorHAnsi" w:cstheme="minorHAnsi"/>
        </w:rPr>
        <w:t> </w:t>
      </w:r>
      <w:r w:rsidR="00852D41">
        <w:rPr>
          <w:rFonts w:asciiTheme="minorHAnsi" w:hAnsiTheme="minorHAnsi" w:cstheme="minorHAnsi"/>
        </w:rPr>
        <w:t>and</w:t>
      </w:r>
      <w:r w:rsidR="003D670D">
        <w:rPr>
          <w:rFonts w:asciiTheme="minorHAnsi" w:hAnsiTheme="minorHAnsi" w:cstheme="minorHAnsi"/>
        </w:rPr>
        <w:t> </w:t>
      </w:r>
      <w:r w:rsidR="00852D41">
        <w:rPr>
          <w:rFonts w:asciiTheme="minorHAnsi" w:hAnsiTheme="minorHAnsi" w:cstheme="minorHAnsi"/>
        </w:rPr>
        <w:t>Example</w:t>
      </w:r>
      <w:r w:rsidR="003D670D">
        <w:rPr>
          <w:rFonts w:asciiTheme="minorHAnsi" w:hAnsiTheme="minorHAnsi" w:cstheme="minorHAnsi"/>
        </w:rPr>
        <w:t> </w:t>
      </w:r>
      <w:r w:rsidR="00852D41">
        <w:rPr>
          <w:rFonts w:asciiTheme="minorHAnsi" w:hAnsiTheme="minorHAnsi" w:cstheme="minorHAnsi"/>
        </w:rPr>
        <w:t>Tests</w:t>
      </w:r>
      <w:r w:rsidR="006C0DF6">
        <w:rPr>
          <w:rFonts w:asciiTheme="minorHAnsi" w:hAnsiTheme="minorHAnsi" w:cstheme="minorHAnsi"/>
        </w:rPr>
        <w:t>.</w:t>
      </w:r>
    </w:p>
    <w:p w14:paraId="5011F0FD" w14:textId="6AB37BB2" w:rsidR="00D7648C" w:rsidRDefault="00FF44FE" w:rsidP="0092394B">
      <w:pPr>
        <w:tabs>
          <w:tab w:val="left" w:pos="10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 students with </w:t>
      </w:r>
      <w:r w:rsidR="00E91C08">
        <w:rPr>
          <w:rFonts w:asciiTheme="minorHAnsi" w:hAnsiTheme="minorHAnsi" w:cstheme="minorHAnsi"/>
        </w:rPr>
        <w:t>disability</w:t>
      </w:r>
      <w:r>
        <w:rPr>
          <w:rFonts w:asciiTheme="minorHAnsi" w:hAnsiTheme="minorHAnsi" w:cstheme="minorHAnsi"/>
        </w:rPr>
        <w:t xml:space="preserve">, we have guidelines to help </w:t>
      </w:r>
      <w:r w:rsidR="00431B80">
        <w:rPr>
          <w:rFonts w:asciiTheme="minorHAnsi" w:hAnsiTheme="minorHAnsi" w:cstheme="minorHAnsi"/>
        </w:rPr>
        <w:t xml:space="preserve">determine </w:t>
      </w:r>
      <w:r>
        <w:rPr>
          <w:rFonts w:asciiTheme="minorHAnsi" w:hAnsiTheme="minorHAnsi" w:cstheme="minorHAnsi"/>
        </w:rPr>
        <w:t xml:space="preserve">the </w:t>
      </w:r>
      <w:r w:rsidR="00D7648C" w:rsidRPr="0092394B">
        <w:rPr>
          <w:rFonts w:asciiTheme="minorHAnsi" w:hAnsiTheme="minorHAnsi" w:cstheme="minorHAnsi"/>
        </w:rPr>
        <w:t xml:space="preserve">appropriate </w:t>
      </w:r>
      <w:r w:rsidR="00E91C08">
        <w:rPr>
          <w:rFonts w:asciiTheme="minorHAnsi" w:hAnsiTheme="minorHAnsi" w:cstheme="minorHAnsi"/>
        </w:rPr>
        <w:t>adjustment</w:t>
      </w:r>
      <w:r w:rsidR="00D7648C" w:rsidRPr="0092394B">
        <w:rPr>
          <w:rFonts w:asciiTheme="minorHAnsi" w:hAnsiTheme="minorHAnsi" w:cstheme="minorHAnsi"/>
        </w:rPr>
        <w:t xml:space="preserve">s </w:t>
      </w:r>
      <w:r w:rsidR="00180C08">
        <w:rPr>
          <w:rFonts w:asciiTheme="minorHAnsi" w:hAnsiTheme="minorHAnsi" w:cstheme="minorHAnsi"/>
        </w:rPr>
        <w:t>for equal access</w:t>
      </w:r>
      <w:r w:rsidR="00D7648C" w:rsidRPr="0092394B">
        <w:rPr>
          <w:rFonts w:asciiTheme="minorHAnsi" w:hAnsiTheme="minorHAnsi" w:cstheme="minorHAnsi"/>
        </w:rPr>
        <w:t>.</w:t>
      </w:r>
      <w:r w:rsidR="006C0DF6">
        <w:rPr>
          <w:rFonts w:asciiTheme="minorHAnsi" w:hAnsiTheme="minorHAnsi" w:cstheme="minorHAnsi"/>
        </w:rPr>
        <w:t xml:space="preserve"> </w:t>
      </w:r>
      <w:r w:rsidR="006C0DF6" w:rsidRPr="006C0DF6">
        <w:t>Information</w:t>
      </w:r>
      <w:r w:rsidR="006C0DF6">
        <w:rPr>
          <w:rFonts w:asciiTheme="minorHAnsi" w:hAnsiTheme="minorHAnsi" w:cstheme="minorHAnsi"/>
        </w:rPr>
        <w:t xml:space="preserve"> about disability adjustments is available on the Authority website under </w:t>
      </w:r>
      <w:r w:rsidR="00852D41">
        <w:rPr>
          <w:rFonts w:asciiTheme="minorHAnsi" w:hAnsiTheme="minorHAnsi" w:cstheme="minorHAnsi"/>
        </w:rPr>
        <w:t>Years</w:t>
      </w:r>
      <w:r w:rsidR="003D670D">
        <w:rPr>
          <w:rFonts w:asciiTheme="minorHAnsi" w:hAnsiTheme="minorHAnsi" w:cstheme="minorHAnsi"/>
        </w:rPr>
        <w:t> </w:t>
      </w:r>
      <w:r w:rsidR="00852D41">
        <w:rPr>
          <w:rFonts w:asciiTheme="minorHAnsi" w:hAnsiTheme="minorHAnsi" w:cstheme="minorHAnsi"/>
        </w:rPr>
        <w:t>11</w:t>
      </w:r>
      <w:r w:rsidR="003D670D">
        <w:rPr>
          <w:rFonts w:asciiTheme="minorHAnsi" w:hAnsiTheme="minorHAnsi" w:cstheme="minorHAnsi"/>
        </w:rPr>
        <w:t> </w:t>
      </w:r>
      <w:r w:rsidR="00852D41">
        <w:rPr>
          <w:rFonts w:asciiTheme="minorHAnsi" w:hAnsiTheme="minorHAnsi" w:cstheme="minorHAnsi"/>
        </w:rPr>
        <w:t>and</w:t>
      </w:r>
      <w:r w:rsidR="003D670D">
        <w:rPr>
          <w:rFonts w:asciiTheme="minorHAnsi" w:hAnsiTheme="minorHAnsi" w:cstheme="minorHAnsi"/>
        </w:rPr>
        <w:t> </w:t>
      </w:r>
      <w:r w:rsidR="00852D41">
        <w:rPr>
          <w:rFonts w:asciiTheme="minorHAnsi" w:hAnsiTheme="minorHAnsi" w:cstheme="minorHAnsi"/>
        </w:rPr>
        <w:t>12</w:t>
      </w:r>
      <w:r w:rsidR="003D670D">
        <w:rPr>
          <w:rFonts w:asciiTheme="minorHAnsi" w:hAnsiTheme="minorHAnsi" w:cstheme="minorHAnsi"/>
        </w:rPr>
        <w:t xml:space="preserve"> </w:t>
      </w:r>
      <w:r w:rsidR="00852D41">
        <w:rPr>
          <w:rFonts w:asciiTheme="minorHAnsi" w:hAnsiTheme="minorHAnsi" w:cstheme="minorHAnsi"/>
        </w:rPr>
        <w:t>&gt;</w:t>
      </w:r>
      <w:r w:rsidR="003D670D">
        <w:rPr>
          <w:rFonts w:asciiTheme="minorHAnsi" w:hAnsiTheme="minorHAnsi" w:cstheme="minorHAnsi"/>
        </w:rPr>
        <w:t xml:space="preserve"> </w:t>
      </w:r>
      <w:r w:rsidR="00852D41">
        <w:rPr>
          <w:rFonts w:asciiTheme="minorHAnsi" w:hAnsiTheme="minorHAnsi" w:cstheme="minorHAnsi"/>
        </w:rPr>
        <w:t>Assessment</w:t>
      </w:r>
      <w:r w:rsidR="003D670D">
        <w:rPr>
          <w:rFonts w:asciiTheme="minorHAnsi" w:hAnsiTheme="minorHAnsi" w:cstheme="minorHAnsi"/>
        </w:rPr>
        <w:t xml:space="preserve"> </w:t>
      </w:r>
      <w:r w:rsidR="00852D41">
        <w:rPr>
          <w:rFonts w:asciiTheme="minorHAnsi" w:hAnsiTheme="minorHAnsi" w:cstheme="minorHAnsi"/>
        </w:rPr>
        <w:t>&gt;</w:t>
      </w:r>
      <w:r w:rsidR="003D670D">
        <w:rPr>
          <w:rFonts w:asciiTheme="minorHAnsi" w:hAnsiTheme="minorHAnsi" w:cstheme="minorHAnsi"/>
        </w:rPr>
        <w:t xml:space="preserve"> </w:t>
      </w:r>
      <w:r w:rsidR="00852D41" w:rsidRPr="00852D41">
        <w:rPr>
          <w:rFonts w:asciiTheme="minorHAnsi" w:hAnsiTheme="minorHAnsi" w:cstheme="minorHAnsi"/>
        </w:rPr>
        <w:t>Disability</w:t>
      </w:r>
      <w:r w:rsidR="003D670D">
        <w:rPr>
          <w:rFonts w:asciiTheme="minorHAnsi" w:hAnsiTheme="minorHAnsi" w:cstheme="minorHAnsi"/>
        </w:rPr>
        <w:t> </w:t>
      </w:r>
      <w:r w:rsidR="00852D41" w:rsidRPr="00852D41">
        <w:rPr>
          <w:rFonts w:asciiTheme="minorHAnsi" w:hAnsiTheme="minorHAnsi" w:cstheme="minorHAnsi"/>
        </w:rPr>
        <w:t>Adjustment</w:t>
      </w:r>
      <w:r w:rsidR="003D670D">
        <w:rPr>
          <w:rFonts w:asciiTheme="minorHAnsi" w:hAnsiTheme="minorHAnsi" w:cstheme="minorHAnsi"/>
        </w:rPr>
        <w:t> </w:t>
      </w:r>
      <w:r w:rsidR="00852D41" w:rsidRPr="00852D41">
        <w:rPr>
          <w:rFonts w:asciiTheme="minorHAnsi" w:hAnsiTheme="minorHAnsi" w:cstheme="minorHAnsi"/>
        </w:rPr>
        <w:t>Guidelines</w:t>
      </w:r>
    </w:p>
    <w:p w14:paraId="5E57C8E8" w14:textId="7A0F0976" w:rsidR="003359B2" w:rsidRPr="00BF5940" w:rsidRDefault="003359B2" w:rsidP="00BF5940">
      <w:pPr>
        <w:autoSpaceDE w:val="0"/>
        <w:autoSpaceDN w:val="0"/>
        <w:adjustRightInd w:val="0"/>
        <w:rPr>
          <w:rFonts w:cs="Calibri-Bold"/>
          <w:bCs/>
        </w:rPr>
      </w:pPr>
      <w:r>
        <w:rPr>
          <w:rFonts w:cs="Calibri-Bold"/>
          <w:bCs/>
        </w:rPr>
        <w:t>Students who do not demonstrate the literacy and numeracy standard by the time they exit senior secondary schooling can apply to the Authority to re-sit the OLNA at any age.</w:t>
      </w:r>
    </w:p>
    <w:p w14:paraId="30818D8E" w14:textId="35D45830" w:rsidR="00CF6090" w:rsidRPr="0092394B" w:rsidRDefault="00180C08" w:rsidP="00852D41">
      <w:pPr>
        <w:tabs>
          <w:tab w:val="left" w:pos="10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you want to know more, go to the </w:t>
      </w:r>
      <w:r w:rsidR="00D7648C" w:rsidRPr="0092394B">
        <w:rPr>
          <w:rFonts w:asciiTheme="minorHAnsi" w:hAnsiTheme="minorHAnsi" w:cstheme="minorHAnsi"/>
        </w:rPr>
        <w:t>Authority</w:t>
      </w:r>
      <w:r w:rsidR="006C0DF6">
        <w:rPr>
          <w:rFonts w:asciiTheme="minorHAnsi" w:hAnsiTheme="minorHAnsi" w:cstheme="minorHAnsi"/>
        </w:rPr>
        <w:t>’s</w:t>
      </w:r>
      <w:r w:rsidR="00D7648C" w:rsidRPr="0092394B">
        <w:rPr>
          <w:rFonts w:asciiTheme="minorHAnsi" w:hAnsiTheme="minorHAnsi" w:cstheme="minorHAnsi"/>
        </w:rPr>
        <w:t xml:space="preserve"> website </w:t>
      </w:r>
      <w:r>
        <w:rPr>
          <w:rFonts w:asciiTheme="minorHAnsi" w:hAnsiTheme="minorHAnsi" w:cstheme="minorHAnsi"/>
        </w:rPr>
        <w:t xml:space="preserve">and look </w:t>
      </w:r>
      <w:r w:rsidR="00D7648C" w:rsidRPr="0092394B">
        <w:rPr>
          <w:rFonts w:asciiTheme="minorHAnsi" w:hAnsiTheme="minorHAnsi" w:cstheme="minorHAnsi"/>
        </w:rPr>
        <w:t xml:space="preserve">under </w:t>
      </w:r>
      <w:r w:rsidR="00852D41">
        <w:rPr>
          <w:rFonts w:asciiTheme="minorHAnsi" w:hAnsiTheme="minorHAnsi" w:cstheme="minorHAnsi"/>
        </w:rPr>
        <w:t>Years</w:t>
      </w:r>
      <w:r w:rsidR="003D670D">
        <w:t> </w:t>
      </w:r>
      <w:r w:rsidR="00852D41">
        <w:rPr>
          <w:rFonts w:asciiTheme="minorHAnsi" w:hAnsiTheme="minorHAnsi" w:cstheme="minorHAnsi"/>
        </w:rPr>
        <w:t>11</w:t>
      </w:r>
      <w:r w:rsidR="003D670D">
        <w:rPr>
          <w:rFonts w:asciiTheme="minorHAnsi" w:hAnsiTheme="minorHAnsi" w:cstheme="minorHAnsi"/>
        </w:rPr>
        <w:t> </w:t>
      </w:r>
      <w:r w:rsidR="00852D41">
        <w:rPr>
          <w:rFonts w:asciiTheme="minorHAnsi" w:hAnsiTheme="minorHAnsi" w:cstheme="minorHAnsi"/>
        </w:rPr>
        <w:t>and</w:t>
      </w:r>
      <w:r w:rsidR="003D670D">
        <w:rPr>
          <w:rFonts w:asciiTheme="minorHAnsi" w:hAnsiTheme="minorHAnsi" w:cstheme="minorHAnsi"/>
        </w:rPr>
        <w:t> </w:t>
      </w:r>
      <w:r w:rsidR="00852D41">
        <w:rPr>
          <w:rFonts w:asciiTheme="minorHAnsi" w:hAnsiTheme="minorHAnsi" w:cstheme="minorHAnsi"/>
        </w:rPr>
        <w:t>12</w:t>
      </w:r>
      <w:r w:rsidR="003D670D">
        <w:rPr>
          <w:rFonts w:asciiTheme="minorHAnsi" w:hAnsiTheme="minorHAnsi" w:cstheme="minorHAnsi"/>
        </w:rPr>
        <w:t xml:space="preserve"> </w:t>
      </w:r>
      <w:r w:rsidR="00852D41">
        <w:rPr>
          <w:rFonts w:asciiTheme="minorHAnsi" w:hAnsiTheme="minorHAnsi" w:cstheme="minorHAnsi"/>
        </w:rPr>
        <w:t>&gt;</w:t>
      </w:r>
      <w:r w:rsidR="003D670D">
        <w:rPr>
          <w:rFonts w:asciiTheme="minorHAnsi" w:hAnsiTheme="minorHAnsi" w:cstheme="minorHAnsi"/>
        </w:rPr>
        <w:t xml:space="preserve"> </w:t>
      </w:r>
      <w:r w:rsidR="00852D41">
        <w:rPr>
          <w:rFonts w:asciiTheme="minorHAnsi" w:hAnsiTheme="minorHAnsi" w:cstheme="minorHAnsi"/>
        </w:rPr>
        <w:t>Assessment</w:t>
      </w:r>
      <w:r w:rsidR="003D670D">
        <w:rPr>
          <w:rFonts w:asciiTheme="minorHAnsi" w:hAnsiTheme="minorHAnsi" w:cstheme="minorHAnsi"/>
        </w:rPr>
        <w:t xml:space="preserve"> </w:t>
      </w:r>
      <w:r w:rsidR="00852D41">
        <w:rPr>
          <w:rFonts w:asciiTheme="minorHAnsi" w:hAnsiTheme="minorHAnsi" w:cstheme="minorHAnsi"/>
        </w:rPr>
        <w:t>&gt;</w:t>
      </w:r>
      <w:r w:rsidR="003D670D">
        <w:rPr>
          <w:rFonts w:asciiTheme="minorHAnsi" w:hAnsiTheme="minorHAnsi" w:cstheme="minorHAnsi"/>
        </w:rPr>
        <w:t xml:space="preserve"> </w:t>
      </w:r>
      <w:r w:rsidR="00852D41">
        <w:rPr>
          <w:rFonts w:asciiTheme="minorHAnsi" w:hAnsiTheme="minorHAnsi" w:cstheme="minorHAnsi"/>
        </w:rPr>
        <w:t>OLNA</w:t>
      </w:r>
      <w:r w:rsidRPr="006C0DF6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The</w:t>
      </w:r>
      <w:bookmarkStart w:id="0" w:name="_GoBack"/>
      <w:bookmarkEnd w:id="0"/>
      <w:r>
        <w:rPr>
          <w:rFonts w:asciiTheme="minorHAnsi" w:hAnsiTheme="minorHAnsi" w:cstheme="minorHAnsi"/>
        </w:rPr>
        <w:t xml:space="preserve">re you will find more information, </w:t>
      </w:r>
      <w:r w:rsidR="00BB6910">
        <w:rPr>
          <w:rFonts w:asciiTheme="minorHAnsi" w:hAnsiTheme="minorHAnsi" w:cstheme="minorHAnsi"/>
        </w:rPr>
        <w:t xml:space="preserve">answers to frequently asked questions and </w:t>
      </w:r>
      <w:r w:rsidR="00D7648C" w:rsidRPr="0092394B">
        <w:rPr>
          <w:rFonts w:asciiTheme="minorHAnsi" w:hAnsiTheme="minorHAnsi" w:cstheme="minorHAnsi"/>
        </w:rPr>
        <w:t xml:space="preserve">a </w:t>
      </w:r>
      <w:r w:rsidR="00BB6910">
        <w:rPr>
          <w:rFonts w:asciiTheme="minorHAnsi" w:hAnsiTheme="minorHAnsi" w:cstheme="minorHAnsi"/>
        </w:rPr>
        <w:t xml:space="preserve">brief </w:t>
      </w:r>
      <w:r w:rsidR="00D7648C" w:rsidRPr="0092394B">
        <w:rPr>
          <w:rFonts w:asciiTheme="minorHAnsi" w:hAnsiTheme="minorHAnsi" w:cstheme="minorHAnsi"/>
        </w:rPr>
        <w:t xml:space="preserve">video. </w:t>
      </w:r>
      <w:r>
        <w:rPr>
          <w:rFonts w:asciiTheme="minorHAnsi" w:hAnsiTheme="minorHAnsi" w:cstheme="minorHAnsi"/>
        </w:rPr>
        <w:t xml:space="preserve">You </w:t>
      </w:r>
      <w:r w:rsidR="00D7648C" w:rsidRPr="0092394B">
        <w:rPr>
          <w:rFonts w:asciiTheme="minorHAnsi" w:hAnsiTheme="minorHAnsi" w:cstheme="minorHAnsi"/>
        </w:rPr>
        <w:t xml:space="preserve">can </w:t>
      </w:r>
      <w:r>
        <w:rPr>
          <w:rFonts w:asciiTheme="minorHAnsi" w:hAnsiTheme="minorHAnsi" w:cstheme="minorHAnsi"/>
        </w:rPr>
        <w:t xml:space="preserve">also send questions to </w:t>
      </w:r>
      <w:hyperlink r:id="rId10" w:history="1">
        <w:r w:rsidR="00BB6910" w:rsidRPr="00AA019F">
          <w:rPr>
            <w:rStyle w:val="Hyperlink"/>
            <w:rFonts w:asciiTheme="minorHAnsi" w:hAnsiTheme="minorHAnsi" w:cstheme="minorHAnsi"/>
          </w:rPr>
          <w:t>olna@scsa.wa.edu.au</w:t>
        </w:r>
      </w:hyperlink>
      <w:r w:rsidR="00D7648C" w:rsidRPr="0092394B">
        <w:rPr>
          <w:rFonts w:asciiTheme="minorHAnsi" w:hAnsiTheme="minorHAnsi" w:cstheme="minorHAnsi"/>
        </w:rPr>
        <w:t>.</w:t>
      </w:r>
    </w:p>
    <w:sectPr w:rsidR="00CF6090" w:rsidRPr="0092394B" w:rsidSect="00554485">
      <w:footerReference w:type="default" r:id="rId11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E54D74" w14:textId="77777777" w:rsidR="00D6652B" w:rsidRDefault="00D6652B" w:rsidP="00CB6FE4">
      <w:pPr>
        <w:spacing w:after="0"/>
      </w:pPr>
      <w:r>
        <w:separator/>
      </w:r>
    </w:p>
  </w:endnote>
  <w:endnote w:type="continuationSeparator" w:id="0">
    <w:p w14:paraId="579EC0B1" w14:textId="77777777" w:rsidR="00D6652B" w:rsidRDefault="00D6652B" w:rsidP="00CB6F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onstantia"/>
    <w:charset w:val="00"/>
    <w:family w:val="auto"/>
    <w:pitch w:val="variable"/>
    <w:sig w:usb0="00000001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40CF0" w14:textId="5F8273A9" w:rsidR="00CB6FE4" w:rsidRPr="00CB6FE4" w:rsidRDefault="00641C66">
    <w:pPr>
      <w:pStyle w:val="Footer"/>
      <w:rPr>
        <w:sz w:val="16"/>
        <w:szCs w:val="16"/>
      </w:rPr>
    </w:pPr>
    <w:r w:rsidRPr="00641C66">
      <w:rPr>
        <w:sz w:val="16"/>
        <w:szCs w:val="16"/>
      </w:rPr>
      <w:t>2018/59196</w:t>
    </w:r>
    <w:r w:rsidR="0016580B">
      <w:rPr>
        <w:sz w:val="16"/>
        <w:szCs w:val="16"/>
      </w:rPr>
      <w:t>v2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9C6460" w14:textId="77777777" w:rsidR="00D6652B" w:rsidRDefault="00D6652B" w:rsidP="00CB6FE4">
      <w:pPr>
        <w:spacing w:after="0"/>
      </w:pPr>
      <w:r>
        <w:separator/>
      </w:r>
    </w:p>
  </w:footnote>
  <w:footnote w:type="continuationSeparator" w:id="0">
    <w:p w14:paraId="1025FC20" w14:textId="77777777" w:rsidR="00D6652B" w:rsidRDefault="00D6652B" w:rsidP="00CB6F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6E2969"/>
    <w:multiLevelType w:val="hybridMultilevel"/>
    <w:tmpl w:val="E79CEA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4222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2C4722"/>
    <w:multiLevelType w:val="hybridMultilevel"/>
    <w:tmpl w:val="43CA11B8"/>
    <w:lvl w:ilvl="0" w:tplc="344222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48C"/>
    <w:rsid w:val="00072E96"/>
    <w:rsid w:val="000D39AB"/>
    <w:rsid w:val="0016580B"/>
    <w:rsid w:val="00180C08"/>
    <w:rsid w:val="00196A12"/>
    <w:rsid w:val="001B2962"/>
    <w:rsid w:val="002C4F54"/>
    <w:rsid w:val="002D5BBC"/>
    <w:rsid w:val="00313416"/>
    <w:rsid w:val="003359B2"/>
    <w:rsid w:val="00397B09"/>
    <w:rsid w:val="003D670D"/>
    <w:rsid w:val="004275AD"/>
    <w:rsid w:val="00431B80"/>
    <w:rsid w:val="0048184E"/>
    <w:rsid w:val="00487728"/>
    <w:rsid w:val="00510F96"/>
    <w:rsid w:val="00554485"/>
    <w:rsid w:val="00590BC3"/>
    <w:rsid w:val="005A010A"/>
    <w:rsid w:val="005C0873"/>
    <w:rsid w:val="005C2EAA"/>
    <w:rsid w:val="006361CC"/>
    <w:rsid w:val="00641C66"/>
    <w:rsid w:val="00686092"/>
    <w:rsid w:val="006C0DF6"/>
    <w:rsid w:val="00702DD0"/>
    <w:rsid w:val="007C5DA3"/>
    <w:rsid w:val="007F2936"/>
    <w:rsid w:val="007F67DA"/>
    <w:rsid w:val="00852D41"/>
    <w:rsid w:val="00867A0A"/>
    <w:rsid w:val="00893A9B"/>
    <w:rsid w:val="0092394B"/>
    <w:rsid w:val="00A163E1"/>
    <w:rsid w:val="00A522A3"/>
    <w:rsid w:val="00A7185F"/>
    <w:rsid w:val="00AB727A"/>
    <w:rsid w:val="00BB6910"/>
    <w:rsid w:val="00BE2417"/>
    <w:rsid w:val="00BE5775"/>
    <w:rsid w:val="00BF5940"/>
    <w:rsid w:val="00C01AE7"/>
    <w:rsid w:val="00C2511A"/>
    <w:rsid w:val="00C61665"/>
    <w:rsid w:val="00CB6FE4"/>
    <w:rsid w:val="00CE656C"/>
    <w:rsid w:val="00D43B85"/>
    <w:rsid w:val="00D55E13"/>
    <w:rsid w:val="00D6652B"/>
    <w:rsid w:val="00D7648C"/>
    <w:rsid w:val="00E91C08"/>
    <w:rsid w:val="00E94C18"/>
    <w:rsid w:val="00EB2A92"/>
    <w:rsid w:val="00EC2F2E"/>
    <w:rsid w:val="00EE45CA"/>
    <w:rsid w:val="00FF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0D4D0"/>
  <w15:docId w15:val="{4EFF0EB9-8761-4415-A5D4-74B25627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48C"/>
    <w:pPr>
      <w:spacing w:after="200"/>
    </w:pPr>
    <w:rPr>
      <w:rFonts w:ascii="Calibri" w:eastAsia="Times New Roman" w:hAnsi="Calibri" w:cs="Arial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7648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648C"/>
    <w:pPr>
      <w:ind w:left="720"/>
      <w:contextualSpacing/>
    </w:pPr>
  </w:style>
  <w:style w:type="character" w:styleId="CommentReference">
    <w:name w:val="annotation reference"/>
    <w:basedOn w:val="DefaultParagraphFont"/>
    <w:rsid w:val="007F67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67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F67DA"/>
    <w:rPr>
      <w:rFonts w:ascii="Calibri" w:eastAsia="Times New Roman" w:hAnsi="Calibri" w:cs="Arial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7D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7DA"/>
    <w:rPr>
      <w:rFonts w:ascii="Tahoma" w:eastAsia="Times New Roman" w:hAnsi="Tahoma" w:cs="Tahoma"/>
      <w:sz w:val="16"/>
      <w:szCs w:val="16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7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7DA"/>
    <w:rPr>
      <w:rFonts w:ascii="Calibri" w:eastAsia="Times New Roman" w:hAnsi="Calibri" w:cs="Arial"/>
      <w:b/>
      <w:bCs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CB6FE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B6FE4"/>
    <w:rPr>
      <w:rFonts w:ascii="Calibri" w:eastAsia="Times New Roman" w:hAnsi="Calibri" w:cs="Arial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CB6FE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B6FE4"/>
    <w:rPr>
      <w:rFonts w:ascii="Calibri" w:eastAsia="Times New Roman" w:hAnsi="Calibri" w:cs="Arial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7F29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sa.wa.edu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lna@scsa.wa.edu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sa.wa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6C829-6AE3-4232-9A14-2F0836854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</Company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George Temple</dc:creator>
  <cp:lastModifiedBy>Jason Collier</cp:lastModifiedBy>
  <cp:revision>3</cp:revision>
  <cp:lastPrinted>2017-01-31T00:21:00Z</cp:lastPrinted>
  <dcterms:created xsi:type="dcterms:W3CDTF">2018-11-28T03:27:00Z</dcterms:created>
  <dcterms:modified xsi:type="dcterms:W3CDTF">2018-12-06T05:15:00Z</dcterms:modified>
</cp:coreProperties>
</file>