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932B7" w14:textId="77777777"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lang w:val="en-AU" w:eastAsia="en-AU"/>
        </w:rPr>
        <w:drawing>
          <wp:anchor distT="0" distB="0" distL="114300" distR="114300" simplePos="0" relativeHeight="251659264" behindDoc="1" locked="1" layoutInCell="1" allowOverlap="1" wp14:anchorId="07A20604" wp14:editId="6DCD7622">
            <wp:simplePos x="0" y="0"/>
            <wp:positionH relativeFrom="column">
              <wp:posOffset>-5311140</wp:posOffset>
            </wp:positionH>
            <wp:positionV relativeFrom="paragraph">
              <wp:posOffset>370840</wp:posOffset>
            </wp:positionV>
            <wp:extent cx="11628120" cy="9121140"/>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28120" cy="9121140"/>
                    </a:xfrm>
                    <a:prstGeom prst="rect">
                      <a:avLst/>
                    </a:prstGeom>
                    <a:noFill/>
                  </pic:spPr>
                </pic:pic>
              </a:graphicData>
            </a:graphic>
          </wp:anchor>
        </w:drawing>
      </w:r>
      <w:r>
        <w:rPr>
          <w:rFonts w:ascii="Franklin Gothic Book" w:hAnsi="Franklin Gothic Book"/>
          <w:b/>
          <w:smallCaps/>
          <w:color w:val="9688BE"/>
          <w:sz w:val="36"/>
          <w:szCs w:val="36"/>
        </w:rPr>
        <w:t>S</w:t>
      </w:r>
      <w:r w:rsidRPr="00891E0F">
        <w:rPr>
          <w:rFonts w:ascii="Franklin Gothic Book" w:hAnsi="Franklin Gothic Book"/>
          <w:b/>
          <w:smallCaps/>
          <w:color w:val="9688BE"/>
          <w:sz w:val="36"/>
          <w:szCs w:val="36"/>
        </w:rPr>
        <w:t xml:space="preserve">ample </w:t>
      </w:r>
      <w:r>
        <w:rPr>
          <w:rFonts w:ascii="Franklin Gothic Book" w:hAnsi="Franklin Gothic Book"/>
          <w:b/>
          <w:smallCaps/>
          <w:color w:val="9688BE"/>
          <w:sz w:val="36"/>
          <w:szCs w:val="36"/>
        </w:rPr>
        <w:t>Course</w:t>
      </w:r>
      <w:r w:rsidRPr="00891E0F">
        <w:rPr>
          <w:rFonts w:ascii="Franklin Gothic Book" w:hAnsi="Franklin Gothic Book"/>
          <w:b/>
          <w:smallCaps/>
          <w:color w:val="9688BE"/>
          <w:sz w:val="36"/>
          <w:szCs w:val="36"/>
        </w:rPr>
        <w:t xml:space="preserve"> </w:t>
      </w:r>
      <w:r>
        <w:rPr>
          <w:rFonts w:ascii="Franklin Gothic Book" w:hAnsi="Franklin Gothic Book"/>
          <w:b/>
          <w:smallCaps/>
          <w:color w:val="9688BE"/>
          <w:sz w:val="36"/>
          <w:szCs w:val="36"/>
        </w:rPr>
        <w:t>Outline</w:t>
      </w:r>
    </w:p>
    <w:p w14:paraId="556B659B" w14:textId="77777777" w:rsidR="00855E0F" w:rsidRDefault="005B49C8"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Economics</w:t>
      </w:r>
    </w:p>
    <w:p w14:paraId="1425BDF5" w14:textId="77777777" w:rsidR="00855E0F" w:rsidRPr="00891E0F" w:rsidRDefault="005B49C8"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ATAR Year 1</w:t>
      </w:r>
      <w:r w:rsidR="0074508B">
        <w:rPr>
          <w:rFonts w:ascii="Franklin Gothic Medium" w:hAnsi="Franklin Gothic Medium"/>
          <w:smallCaps/>
          <w:color w:val="5F497A"/>
          <w:sz w:val="28"/>
          <w:szCs w:val="28"/>
        </w:rPr>
        <w:t>2</w:t>
      </w:r>
    </w:p>
    <w:p w14:paraId="60A81A20" w14:textId="1D4581AD" w:rsidR="0025174E" w:rsidRPr="0025174E" w:rsidRDefault="0025174E" w:rsidP="0025174E">
      <w:pPr>
        <w:rPr>
          <w:b/>
          <w:sz w:val="28"/>
          <w:szCs w:val="28"/>
        </w:rPr>
      </w:pPr>
    </w:p>
    <w:p w14:paraId="2BFF3AE8" w14:textId="77777777" w:rsidR="0025174E" w:rsidRPr="0025174E" w:rsidRDefault="0025174E" w:rsidP="0025174E">
      <w:pPr>
        <w:spacing w:before="10000" w:after="80" w:line="264" w:lineRule="auto"/>
        <w:jc w:val="both"/>
        <w:rPr>
          <w:b/>
          <w:sz w:val="16"/>
        </w:rPr>
      </w:pPr>
    </w:p>
    <w:p w14:paraId="7983A4BA" w14:textId="77777777" w:rsidR="0025174E" w:rsidRPr="0025174E" w:rsidRDefault="0025174E" w:rsidP="0025174E">
      <w:pPr>
        <w:spacing w:before="10000" w:after="80" w:line="264" w:lineRule="auto"/>
        <w:jc w:val="both"/>
        <w:rPr>
          <w:rFonts w:ascii="Calibri" w:hAnsi="Calibri"/>
          <w:b/>
          <w:sz w:val="16"/>
        </w:rPr>
      </w:pPr>
      <w:r w:rsidRPr="0025174E">
        <w:rPr>
          <w:rFonts w:ascii="Calibri" w:hAnsi="Calibri"/>
          <w:b/>
          <w:sz w:val="16"/>
        </w:rPr>
        <w:t>Copyright</w:t>
      </w:r>
    </w:p>
    <w:p w14:paraId="4A537A97" w14:textId="70359AA9" w:rsidR="0025174E" w:rsidRPr="0025174E" w:rsidRDefault="0025174E" w:rsidP="00350CA0">
      <w:pPr>
        <w:spacing w:after="80" w:line="264" w:lineRule="auto"/>
        <w:rPr>
          <w:rFonts w:ascii="Calibri" w:hAnsi="Calibri"/>
          <w:sz w:val="16"/>
        </w:rPr>
      </w:pPr>
      <w:r w:rsidRPr="0025174E">
        <w:rPr>
          <w:rFonts w:ascii="Calibri" w:hAnsi="Calibri"/>
          <w:sz w:val="16"/>
        </w:rPr>
        <w:t>© School Curricul</w:t>
      </w:r>
      <w:r w:rsidR="0022608D">
        <w:rPr>
          <w:rFonts w:ascii="Calibri" w:hAnsi="Calibri"/>
          <w:sz w:val="16"/>
        </w:rPr>
        <w:t>um and Standards Authority, 2019</w:t>
      </w:r>
    </w:p>
    <w:p w14:paraId="7F92D8FB" w14:textId="77777777" w:rsidR="0025174E" w:rsidRPr="0025174E" w:rsidRDefault="0025174E" w:rsidP="00350CA0">
      <w:pPr>
        <w:spacing w:after="80" w:line="264" w:lineRule="auto"/>
        <w:rPr>
          <w:rFonts w:ascii="Calibri" w:hAnsi="Calibri"/>
          <w:sz w:val="16"/>
        </w:rPr>
      </w:pPr>
      <w:r w:rsidRPr="0025174E">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3F9B0520" w14:textId="77777777" w:rsidR="0025174E" w:rsidRPr="0025174E" w:rsidRDefault="0025174E" w:rsidP="00350CA0">
      <w:pPr>
        <w:spacing w:after="80" w:line="264" w:lineRule="auto"/>
        <w:rPr>
          <w:rFonts w:asciiTheme="minorHAnsi" w:hAnsiTheme="minorHAnsi"/>
          <w:sz w:val="16"/>
          <w:szCs w:val="16"/>
        </w:rPr>
      </w:pPr>
      <w:r w:rsidRPr="0025174E">
        <w:rPr>
          <w:rFonts w:ascii="Calibri" w:hAnsi="Calibri"/>
          <w:sz w:val="16"/>
        </w:rPr>
        <w:t xml:space="preserve">Copying or communication for any other purpose can be done only within the terms of the </w:t>
      </w:r>
      <w:r w:rsidRPr="0025174E">
        <w:rPr>
          <w:rFonts w:ascii="Calibri" w:hAnsi="Calibri"/>
          <w:i/>
          <w:iCs/>
          <w:sz w:val="16"/>
        </w:rPr>
        <w:t>Copyright Act 1968</w:t>
      </w:r>
      <w:r w:rsidRPr="0025174E">
        <w:rPr>
          <w:rFonts w:ascii="Calibri" w:hAnsi="Calibri"/>
          <w:sz w:val="16"/>
        </w:rPr>
        <w:t xml:space="preserve"> or with prior written permission of the School Curriculum and Standards Authority. Copying or communication of any third party copyright material can be </w:t>
      </w:r>
      <w:r w:rsidRPr="0025174E">
        <w:rPr>
          <w:rFonts w:asciiTheme="minorHAnsi" w:hAnsiTheme="minorHAnsi"/>
          <w:sz w:val="16"/>
          <w:szCs w:val="16"/>
        </w:rPr>
        <w:t xml:space="preserve">done only within the terms of the </w:t>
      </w:r>
      <w:r w:rsidRPr="0025174E">
        <w:rPr>
          <w:rFonts w:asciiTheme="minorHAnsi" w:hAnsiTheme="minorHAnsi"/>
          <w:i/>
          <w:iCs/>
          <w:sz w:val="16"/>
          <w:szCs w:val="16"/>
        </w:rPr>
        <w:t>Copyright Act 1968</w:t>
      </w:r>
      <w:r w:rsidRPr="0025174E">
        <w:rPr>
          <w:rFonts w:asciiTheme="minorHAnsi" w:hAnsiTheme="minorHAnsi"/>
          <w:sz w:val="16"/>
          <w:szCs w:val="16"/>
        </w:rPr>
        <w:t xml:space="preserve"> or with permission of the copyright owners.</w:t>
      </w:r>
    </w:p>
    <w:p w14:paraId="1B68F13C" w14:textId="23FB446B" w:rsidR="00350CA0" w:rsidRPr="00512DE6" w:rsidRDefault="00350CA0" w:rsidP="00350CA0">
      <w:pPr>
        <w:spacing w:after="80" w:line="264" w:lineRule="auto"/>
        <w:ind w:right="68"/>
        <w:rPr>
          <w:rFonts w:ascii="Calibri" w:eastAsia="Times New Roman" w:hAnsi="Calibri"/>
          <w:iCs/>
          <w:sz w:val="16"/>
          <w:szCs w:val="16"/>
        </w:rPr>
      </w:pPr>
      <w:r w:rsidRPr="008437E5">
        <w:rPr>
          <w:rFonts w:ascii="Calibri" w:eastAsia="Times New Roman" w:hAnsi="Calibri"/>
          <w:sz w:val="16"/>
          <w:szCs w:val="16"/>
        </w:rPr>
        <w:t xml:space="preserve">Any content in this document that has been derived from the Australian Curriculum may be used under the terms of the </w:t>
      </w:r>
      <w:hyperlink r:id="rId9" w:tgtFrame="_blank" w:history="1">
        <w:r w:rsidRPr="00512DE6">
          <w:rPr>
            <w:rStyle w:val="Hyperlink"/>
            <w:rFonts w:ascii="Calibri" w:eastAsia="Times New Roman" w:hAnsi="Calibri"/>
            <w:iCs/>
            <w:szCs w:val="16"/>
          </w:rPr>
          <w:t>Creative Commons Attribution 4.0 International licence</w:t>
        </w:r>
      </w:hyperlink>
      <w:r w:rsidRPr="00512DE6">
        <w:rPr>
          <w:rFonts w:ascii="Calibri" w:eastAsia="Times New Roman" w:hAnsi="Calibri"/>
          <w:iCs/>
          <w:sz w:val="16"/>
          <w:szCs w:val="16"/>
        </w:rPr>
        <w:t>.</w:t>
      </w:r>
    </w:p>
    <w:p w14:paraId="2F956C13" w14:textId="77777777" w:rsidR="0025174E" w:rsidRPr="0025174E" w:rsidRDefault="0025174E" w:rsidP="00350CA0">
      <w:pPr>
        <w:spacing w:after="80" w:line="264" w:lineRule="auto"/>
        <w:rPr>
          <w:rFonts w:ascii="Calibri" w:hAnsi="Calibri"/>
          <w:b/>
          <w:sz w:val="16"/>
        </w:rPr>
      </w:pPr>
      <w:r w:rsidRPr="0025174E">
        <w:rPr>
          <w:rFonts w:ascii="Calibri" w:hAnsi="Calibri"/>
          <w:b/>
          <w:sz w:val="16"/>
        </w:rPr>
        <w:t>Disclaimer</w:t>
      </w:r>
    </w:p>
    <w:p w14:paraId="125FD651" w14:textId="77777777" w:rsidR="0025174E" w:rsidRPr="0025174E" w:rsidRDefault="0025174E" w:rsidP="00350CA0">
      <w:pPr>
        <w:spacing w:line="264" w:lineRule="auto"/>
        <w:rPr>
          <w:rFonts w:ascii="Calibri" w:hAnsi="Calibri"/>
          <w:sz w:val="16"/>
        </w:rPr>
      </w:pPr>
      <w:r w:rsidRPr="0025174E">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1ADAADC" w14:textId="77777777" w:rsidR="0025174E" w:rsidRPr="0025174E" w:rsidRDefault="0025174E" w:rsidP="00350CA0">
      <w:pPr>
        <w:spacing w:line="264" w:lineRule="auto"/>
        <w:rPr>
          <w:rFonts w:ascii="Calibri" w:hAnsi="Calibri"/>
          <w:sz w:val="16"/>
        </w:rPr>
        <w:sectPr w:rsidR="0025174E" w:rsidRPr="0025174E" w:rsidSect="0023790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
          <w:cols w:space="708"/>
          <w:titlePg/>
          <w:docGrid w:linePitch="360"/>
        </w:sectPr>
      </w:pPr>
    </w:p>
    <w:p w14:paraId="7E806DB2" w14:textId="77777777" w:rsidR="006A13C0" w:rsidRDefault="006A13C0" w:rsidP="006A13C0">
      <w:pPr>
        <w:pStyle w:val="Heading1"/>
      </w:pPr>
      <w:r>
        <w:lastRenderedPageBreak/>
        <w:t>Sample course outline</w:t>
      </w:r>
    </w:p>
    <w:p w14:paraId="1FFD3337" w14:textId="77777777" w:rsidR="006A13C0" w:rsidRPr="00855E0F" w:rsidRDefault="006A13C0" w:rsidP="006A13C0">
      <w:pPr>
        <w:pStyle w:val="Heading1"/>
      </w:pPr>
      <w:r>
        <w:t>Economics – ATAR Year 1</w:t>
      </w:r>
      <w:r w:rsidR="0074508B">
        <w:t>2</w:t>
      </w:r>
    </w:p>
    <w:p w14:paraId="4FA27E9A" w14:textId="77777777" w:rsidR="003E79A7" w:rsidRPr="00FE764C" w:rsidRDefault="006A13C0" w:rsidP="007E49B9">
      <w:pPr>
        <w:pStyle w:val="Heading4"/>
        <w:spacing w:before="240" w:after="120"/>
        <w:rPr>
          <w:color w:val="auto"/>
        </w:rPr>
      </w:pPr>
      <w:r w:rsidRPr="00FE764C">
        <w:rPr>
          <w:color w:val="auto"/>
        </w:rPr>
        <w:t xml:space="preserve">Semester 1 – </w:t>
      </w:r>
      <w:r w:rsidR="00642B6A">
        <w:rPr>
          <w:color w:val="auto"/>
        </w:rPr>
        <w:t xml:space="preserve">Unit </w:t>
      </w:r>
      <w:r w:rsidR="0074508B">
        <w:rPr>
          <w:color w:val="auto"/>
        </w:rPr>
        <w:t>3</w:t>
      </w:r>
      <w:r w:rsidR="00642B6A">
        <w:rPr>
          <w:color w:val="auto"/>
        </w:rPr>
        <w:t xml:space="preserve"> – </w:t>
      </w:r>
      <w:r w:rsidR="0074508B">
        <w:rPr>
          <w:color w:val="auto"/>
        </w:rPr>
        <w:t>Australia and the global economy</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8363"/>
      </w:tblGrid>
      <w:tr w:rsidR="006A13C0" w:rsidRPr="00B80875" w14:paraId="2555AE84" w14:textId="77777777" w:rsidTr="00E0071D">
        <w:trPr>
          <w:tblHeader/>
        </w:trPr>
        <w:tc>
          <w:tcPr>
            <w:tcW w:w="993" w:type="dxa"/>
            <w:tcBorders>
              <w:bottom w:val="single" w:sz="4" w:space="0" w:color="D7C5E2" w:themeColor="accent4" w:themeTint="99"/>
              <w:right w:val="single" w:sz="4" w:space="0" w:color="FFFFFF" w:themeColor="background1"/>
            </w:tcBorders>
            <w:shd w:val="clear" w:color="auto" w:fill="BD9FCF" w:themeFill="accent4"/>
            <w:vAlign w:val="center"/>
            <w:hideMark/>
          </w:tcPr>
          <w:p w14:paraId="27DFA793" w14:textId="77777777" w:rsidR="006A13C0" w:rsidRPr="00B80875" w:rsidRDefault="006A13C0" w:rsidP="0047621D">
            <w:pPr>
              <w:spacing w:before="120" w:after="120"/>
              <w:jc w:val="center"/>
              <w:rPr>
                <w:rFonts w:asciiTheme="minorHAnsi" w:hAnsiTheme="minorHAnsi"/>
                <w:b/>
                <w:color w:val="FFFFFF" w:themeColor="background1"/>
                <w:szCs w:val="20"/>
              </w:rPr>
            </w:pPr>
            <w:r w:rsidRPr="00B80875">
              <w:rPr>
                <w:rFonts w:asciiTheme="minorHAnsi" w:hAnsiTheme="minorHAnsi"/>
                <w:b/>
                <w:color w:val="FFFFFF" w:themeColor="background1"/>
                <w:szCs w:val="20"/>
              </w:rPr>
              <w:t>Week</w:t>
            </w:r>
          </w:p>
        </w:tc>
        <w:tc>
          <w:tcPr>
            <w:tcW w:w="8363" w:type="dxa"/>
            <w:tcBorders>
              <w:left w:val="single" w:sz="4" w:space="0" w:color="FFFFFF" w:themeColor="background1"/>
            </w:tcBorders>
            <w:shd w:val="clear" w:color="auto" w:fill="BD9FCF" w:themeFill="accent4"/>
            <w:vAlign w:val="center"/>
            <w:hideMark/>
          </w:tcPr>
          <w:p w14:paraId="4A2C6CC5" w14:textId="77777777" w:rsidR="006A13C0" w:rsidRPr="00B80875" w:rsidRDefault="006A13C0" w:rsidP="00A203A6">
            <w:pPr>
              <w:spacing w:after="120" w:line="276" w:lineRule="auto"/>
              <w:jc w:val="center"/>
              <w:rPr>
                <w:rFonts w:asciiTheme="minorHAnsi" w:hAnsiTheme="minorHAnsi"/>
                <w:b/>
                <w:color w:val="FFFFFF" w:themeColor="background1"/>
                <w:szCs w:val="20"/>
              </w:rPr>
            </w:pPr>
            <w:r w:rsidRPr="00B80875">
              <w:rPr>
                <w:rFonts w:asciiTheme="minorHAnsi" w:hAnsiTheme="minorHAnsi"/>
                <w:b/>
                <w:color w:val="FFFFFF" w:themeColor="background1"/>
                <w:szCs w:val="20"/>
              </w:rPr>
              <w:t>Key teaching points</w:t>
            </w:r>
          </w:p>
        </w:tc>
      </w:tr>
      <w:tr w:rsidR="006A13C0" w:rsidRPr="00B80875" w14:paraId="35AA5157" w14:textId="77777777" w:rsidTr="00F65F10">
        <w:trPr>
          <w:trHeight w:val="2835"/>
        </w:trPr>
        <w:tc>
          <w:tcPr>
            <w:tcW w:w="993" w:type="dxa"/>
            <w:tcBorders>
              <w:bottom w:val="single" w:sz="4" w:space="0" w:color="FFFFFF" w:themeColor="background1"/>
            </w:tcBorders>
            <w:shd w:val="clear" w:color="auto" w:fill="E4D8EB" w:themeFill="accent4" w:themeFillTint="66"/>
            <w:vAlign w:val="center"/>
            <w:hideMark/>
          </w:tcPr>
          <w:p w14:paraId="6314B579" w14:textId="5B9515BD" w:rsidR="006A13C0" w:rsidRPr="00B80875" w:rsidRDefault="006A13C0" w:rsidP="0047621D">
            <w:pPr>
              <w:jc w:val="center"/>
              <w:rPr>
                <w:rFonts w:asciiTheme="minorHAnsi" w:hAnsiTheme="minorHAnsi"/>
                <w:szCs w:val="20"/>
              </w:rPr>
            </w:pPr>
            <w:r w:rsidRPr="00B80875">
              <w:rPr>
                <w:rFonts w:asciiTheme="minorHAnsi" w:hAnsiTheme="minorHAnsi"/>
                <w:szCs w:val="20"/>
              </w:rPr>
              <w:t>1</w:t>
            </w:r>
            <w:r w:rsidR="00F22B1C" w:rsidRPr="00B80875">
              <w:rPr>
                <w:rFonts w:asciiTheme="minorHAnsi" w:hAnsiTheme="minorHAnsi"/>
                <w:szCs w:val="20"/>
              </w:rPr>
              <w:t>–</w:t>
            </w:r>
            <w:r w:rsidR="003B11FE">
              <w:rPr>
                <w:rFonts w:asciiTheme="minorHAnsi" w:hAnsiTheme="minorHAnsi"/>
                <w:szCs w:val="20"/>
              </w:rPr>
              <w:t>2</w:t>
            </w:r>
          </w:p>
        </w:tc>
        <w:tc>
          <w:tcPr>
            <w:tcW w:w="8363" w:type="dxa"/>
          </w:tcPr>
          <w:p w14:paraId="22D114EF" w14:textId="211126D3" w:rsidR="00092F17" w:rsidRPr="00FC2EC2" w:rsidRDefault="00092F17" w:rsidP="00967EF5">
            <w:pPr>
              <w:pStyle w:val="Tableheadings"/>
            </w:pPr>
            <w:r w:rsidRPr="004B56D4">
              <w:t xml:space="preserve">Economic </w:t>
            </w:r>
            <w:r w:rsidR="00350CA0" w:rsidRPr="004B56D4">
              <w:t>s</w:t>
            </w:r>
            <w:r w:rsidRPr="004B56D4">
              <w:t>kills</w:t>
            </w:r>
            <w:r w:rsidR="00CF2D2F" w:rsidRPr="004B56D4">
              <w:t xml:space="preserve">: </w:t>
            </w:r>
            <w:r w:rsidRPr="00FC2EC2">
              <w:t>Reasoning, interpretation and analysis</w:t>
            </w:r>
          </w:p>
          <w:p w14:paraId="63E65E8D" w14:textId="77777777" w:rsidR="00092F17" w:rsidRPr="00A203A6" w:rsidRDefault="00092F17" w:rsidP="009D5614">
            <w:pPr>
              <w:pStyle w:val="ListBullet"/>
            </w:pPr>
            <w:r w:rsidRPr="00A203A6">
              <w:t>identify trends and relationships in economic information and data on Australia’s international trading relationships</w:t>
            </w:r>
          </w:p>
          <w:p w14:paraId="17C622DD" w14:textId="77777777" w:rsidR="00092F17" w:rsidRPr="00A203A6" w:rsidRDefault="00092F17" w:rsidP="004F048B">
            <w:pPr>
              <w:pStyle w:val="ListBullet"/>
            </w:pPr>
            <w:r w:rsidRPr="00A203A6">
              <w:t>use economic information and data to make predictions on Australia’s international trading relationships</w:t>
            </w:r>
          </w:p>
          <w:p w14:paraId="4EFA3A86" w14:textId="4E5D7F80" w:rsidR="00092F17" w:rsidRPr="00A203A6" w:rsidRDefault="00092F17" w:rsidP="009D5614">
            <w:pPr>
              <w:pStyle w:val="ListBullet"/>
            </w:pPr>
            <w:r w:rsidRPr="00A203A6">
              <w:t>use evidence found in economic information and data to justify a conclusion</w:t>
            </w:r>
          </w:p>
          <w:p w14:paraId="6EA8D08F" w14:textId="6B7C8084" w:rsidR="00EC473D" w:rsidRPr="004B6DBA" w:rsidRDefault="00B542EB" w:rsidP="00967EF5">
            <w:pPr>
              <w:pStyle w:val="Tableheadings"/>
            </w:pPr>
            <w:r w:rsidRPr="004B56D4">
              <w:t xml:space="preserve">Economic </w:t>
            </w:r>
            <w:r w:rsidR="00350CA0" w:rsidRPr="004B56D4">
              <w:t>s</w:t>
            </w:r>
            <w:r w:rsidRPr="004B56D4">
              <w:t xml:space="preserve">kills: </w:t>
            </w:r>
            <w:r w:rsidR="00EC473D" w:rsidRPr="004B6DBA">
              <w:t>Communication</w:t>
            </w:r>
          </w:p>
          <w:p w14:paraId="5D55DE9B" w14:textId="77777777" w:rsidR="00EC473D" w:rsidRPr="009D5614" w:rsidRDefault="00EC473D" w:rsidP="009D5614">
            <w:pPr>
              <w:pStyle w:val="ListBullet"/>
            </w:pPr>
            <w:r w:rsidRPr="009D5614">
              <w:t>select and use appropriate terminology</w:t>
            </w:r>
          </w:p>
          <w:p w14:paraId="7126F6DE" w14:textId="77777777" w:rsidR="00EC473D" w:rsidRPr="009D5614" w:rsidRDefault="00EC473D" w:rsidP="009D5614">
            <w:pPr>
              <w:pStyle w:val="ListBullet"/>
            </w:pPr>
            <w:r w:rsidRPr="009D5614">
              <w:t>select and use appropriate formats when communicating economic understandings</w:t>
            </w:r>
          </w:p>
          <w:p w14:paraId="55F21B57" w14:textId="549848A0" w:rsidR="00EC473D" w:rsidRPr="009D5614" w:rsidRDefault="00EC473D" w:rsidP="009D5614">
            <w:pPr>
              <w:pStyle w:val="ListBullet"/>
            </w:pPr>
            <w:r w:rsidRPr="009D5614">
              <w:t>use economic models to convey economic theory and reasoning about Australia’s international transactions</w:t>
            </w:r>
          </w:p>
          <w:p w14:paraId="2C82D3A7" w14:textId="3D60F1B3" w:rsidR="006A13C0" w:rsidRPr="00B80875" w:rsidRDefault="00092F17" w:rsidP="00967EF5">
            <w:pPr>
              <w:pStyle w:val="Tableheadings"/>
            </w:pPr>
            <w:r w:rsidRPr="004B56D4">
              <w:t xml:space="preserve">Economic </w:t>
            </w:r>
            <w:r w:rsidR="00350CA0" w:rsidRPr="004B56D4">
              <w:t>k</w:t>
            </w:r>
            <w:r w:rsidRPr="004B56D4">
              <w:t xml:space="preserve">nowledge and </w:t>
            </w:r>
            <w:r w:rsidR="00350CA0" w:rsidRPr="004B56D4">
              <w:t>u</w:t>
            </w:r>
            <w:r w:rsidRPr="004B56D4">
              <w:t>nderstanding</w:t>
            </w:r>
            <w:r w:rsidR="00EC473D">
              <w:t xml:space="preserve">: </w:t>
            </w:r>
            <w:r w:rsidR="0047621D" w:rsidRPr="00B80875">
              <w:t>Global interdependence</w:t>
            </w:r>
          </w:p>
          <w:p w14:paraId="31FE6857" w14:textId="71F30238" w:rsidR="006A13C0" w:rsidRPr="009D5614" w:rsidRDefault="001D3619" w:rsidP="009D5614">
            <w:pPr>
              <w:pStyle w:val="ListBullet"/>
            </w:pPr>
            <w:r w:rsidRPr="009D5614">
              <w:t xml:space="preserve">linkages between economies (including </w:t>
            </w:r>
            <w:r w:rsidR="0047621D" w:rsidRPr="009D5614">
              <w:t>trade, foreign investment, tourism and immigration</w:t>
            </w:r>
            <w:r w:rsidRPr="009D5614">
              <w:t>)</w:t>
            </w:r>
          </w:p>
          <w:p w14:paraId="07F58DB4" w14:textId="58B04025" w:rsidR="0047621D" w:rsidRPr="009D5614" w:rsidRDefault="00A22AF6" w:rsidP="009D5614">
            <w:pPr>
              <w:pStyle w:val="ListBullet"/>
            </w:pPr>
            <w:r w:rsidRPr="009D5614">
              <w:t xml:space="preserve">the </w:t>
            </w:r>
            <w:r w:rsidR="00A85FFB" w:rsidRPr="009D5614">
              <w:t>composition</w:t>
            </w:r>
            <w:r w:rsidR="00C42CAF" w:rsidRPr="009D5614">
              <w:t xml:space="preserve"> of global trade</w:t>
            </w:r>
          </w:p>
          <w:p w14:paraId="2886B11B" w14:textId="1462FA29" w:rsidR="00165A58" w:rsidRPr="009D5614" w:rsidRDefault="00A22AF6" w:rsidP="009D5614">
            <w:pPr>
              <w:pStyle w:val="ListBullet"/>
            </w:pPr>
            <w:r w:rsidRPr="009D5614">
              <w:t xml:space="preserve">global </w:t>
            </w:r>
            <w:r w:rsidR="00165A58" w:rsidRPr="009D5614">
              <w:t xml:space="preserve">trade by major region </w:t>
            </w:r>
          </w:p>
          <w:p w14:paraId="3C31DB7B" w14:textId="03DF32E5" w:rsidR="00D75AC2" w:rsidRPr="009D5614" w:rsidRDefault="00A22AF6" w:rsidP="009D5614">
            <w:pPr>
              <w:pStyle w:val="ListBullet"/>
            </w:pPr>
            <w:r w:rsidRPr="009D5614">
              <w:t xml:space="preserve">changes </w:t>
            </w:r>
            <w:r w:rsidR="00D75AC2" w:rsidRPr="009D5614">
              <w:t>in the pattern of global trade over time</w:t>
            </w:r>
          </w:p>
          <w:p w14:paraId="17DB0C61" w14:textId="498A56E5" w:rsidR="00D75AC2" w:rsidRPr="009D5614" w:rsidRDefault="00A22AF6" w:rsidP="009D5614">
            <w:pPr>
              <w:pStyle w:val="ListBullet"/>
            </w:pPr>
            <w:r w:rsidRPr="009D5614">
              <w:t xml:space="preserve">the </w:t>
            </w:r>
            <w:r w:rsidR="00D75AC2" w:rsidRPr="009D5614">
              <w:t>significance o</w:t>
            </w:r>
            <w:r w:rsidR="00274092" w:rsidRPr="009D5614">
              <w:t>f the US and Chinese economies to</w:t>
            </w:r>
            <w:r w:rsidR="00D75AC2" w:rsidRPr="009D5614">
              <w:t xml:space="preserve"> global trade</w:t>
            </w:r>
          </w:p>
          <w:p w14:paraId="17D4BA9F" w14:textId="16F1F5B3" w:rsidR="008947B6" w:rsidRPr="009D5614" w:rsidRDefault="00A22AF6" w:rsidP="009D5614">
            <w:pPr>
              <w:pStyle w:val="ListBullet"/>
            </w:pPr>
            <w:r w:rsidRPr="009D5614">
              <w:t xml:space="preserve">the </w:t>
            </w:r>
            <w:r w:rsidR="008947B6" w:rsidRPr="009D5614">
              <w:t>relationship between global trade and economic growth</w:t>
            </w:r>
          </w:p>
          <w:p w14:paraId="75884453" w14:textId="464514E8" w:rsidR="00C42CAF" w:rsidRPr="009D5614" w:rsidRDefault="00A22AF6" w:rsidP="00A91FEC">
            <w:pPr>
              <w:pStyle w:val="ListBullet"/>
            </w:pPr>
            <w:r w:rsidRPr="009D5614">
              <w:t xml:space="preserve">the </w:t>
            </w:r>
            <w:r w:rsidR="00165A58" w:rsidRPr="009D5614">
              <w:t>concept</w:t>
            </w:r>
            <w:r w:rsidR="00C42CAF" w:rsidRPr="009D5614">
              <w:t xml:space="preserve"> </w:t>
            </w:r>
            <w:r>
              <w:t>and</w:t>
            </w:r>
            <w:r w:rsidRPr="009D5614">
              <w:t xml:space="preserve"> </w:t>
            </w:r>
            <w:r w:rsidR="00C42CAF" w:rsidRPr="009D5614">
              <w:t xml:space="preserve">determinants of international competitiveness </w:t>
            </w:r>
            <w:r w:rsidR="007A7636" w:rsidRPr="009D5614">
              <w:t>(</w:t>
            </w:r>
            <w:r w:rsidR="00C42CAF" w:rsidRPr="009D5614">
              <w:t xml:space="preserve">including </w:t>
            </w:r>
            <w:r w:rsidR="00DB1695" w:rsidRPr="009D5614">
              <w:t>productivity, real unit labour costs, the exchange rate, inflation, education, technology</w:t>
            </w:r>
            <w:r w:rsidR="005C364D" w:rsidRPr="009D5614">
              <w:t>, economic policy</w:t>
            </w:r>
            <w:r w:rsidR="007A7636" w:rsidRPr="009D5614">
              <w:t>)</w:t>
            </w:r>
          </w:p>
          <w:p w14:paraId="07B22748" w14:textId="3D9CF479" w:rsidR="00C42CAF" w:rsidRPr="009D5614" w:rsidRDefault="00A22AF6" w:rsidP="009D5614">
            <w:pPr>
              <w:pStyle w:val="ListBullet"/>
            </w:pPr>
            <w:r w:rsidRPr="009D5614">
              <w:t xml:space="preserve">the </w:t>
            </w:r>
            <w:r w:rsidR="007C3F84" w:rsidRPr="009D5614">
              <w:t>concept</w:t>
            </w:r>
            <w:r w:rsidR="00C42CAF" w:rsidRPr="009D5614">
              <w:t xml:space="preserve"> of globalisation</w:t>
            </w:r>
          </w:p>
          <w:p w14:paraId="5899A3D6" w14:textId="46D29FD0" w:rsidR="00C42CAF" w:rsidRPr="009D5614" w:rsidRDefault="00A22AF6" w:rsidP="009D5614">
            <w:pPr>
              <w:pStyle w:val="ListBullet"/>
            </w:pPr>
            <w:r w:rsidRPr="009D5614">
              <w:t xml:space="preserve">economic </w:t>
            </w:r>
            <w:r w:rsidR="00622CBA" w:rsidRPr="009D5614">
              <w:t>i</w:t>
            </w:r>
            <w:r w:rsidR="00C42CAF" w:rsidRPr="009D5614">
              <w:t>ndicators of globalisation</w:t>
            </w:r>
            <w:r w:rsidR="007E49B9" w:rsidRPr="009D5614">
              <w:t xml:space="preserve"> </w:t>
            </w:r>
            <w:r w:rsidR="00622CBA" w:rsidRPr="009D5614">
              <w:t>(including growth in trade, foreign investment, flows of people, growth in communications)</w:t>
            </w:r>
          </w:p>
          <w:p w14:paraId="192F28CE" w14:textId="4F331E75" w:rsidR="00C42CAF" w:rsidRPr="009D5614" w:rsidRDefault="00A22AF6" w:rsidP="009D5614">
            <w:pPr>
              <w:pStyle w:val="ListBullet"/>
            </w:pPr>
            <w:r w:rsidRPr="009D5614">
              <w:t xml:space="preserve">the </w:t>
            </w:r>
            <w:r w:rsidR="00C42CAF" w:rsidRPr="009D5614">
              <w:t xml:space="preserve">factors facilitating globalisation </w:t>
            </w:r>
            <w:r w:rsidR="00A85FFB" w:rsidRPr="009D5614">
              <w:t>(</w:t>
            </w:r>
            <w:r w:rsidR="00C42CAF" w:rsidRPr="009D5614">
              <w:t xml:space="preserve">including </w:t>
            </w:r>
            <w:r w:rsidR="008947B6" w:rsidRPr="009D5614">
              <w:t>trade liberalisation, advances in transport and communications, growth in multinational corporations</w:t>
            </w:r>
            <w:r w:rsidR="004D67FC" w:rsidRPr="009D5614">
              <w:t>)</w:t>
            </w:r>
          </w:p>
          <w:p w14:paraId="5F5E09C9" w14:textId="29DED11E" w:rsidR="00092F17" w:rsidRPr="00E0071D" w:rsidRDefault="00A22AF6" w:rsidP="00A01FF8">
            <w:pPr>
              <w:pStyle w:val="ListBullet"/>
              <w:spacing w:after="0"/>
            </w:pPr>
            <w:r w:rsidRPr="009D5614">
              <w:t xml:space="preserve">the </w:t>
            </w:r>
            <w:r w:rsidR="00C42CAF" w:rsidRPr="009D5614">
              <w:t>economic effects of globalisation</w:t>
            </w:r>
            <w:r w:rsidR="008947B6" w:rsidRPr="009D5614">
              <w:t xml:space="preserve"> </w:t>
            </w:r>
            <w:r w:rsidR="00A85FFB" w:rsidRPr="009D5614">
              <w:t>(</w:t>
            </w:r>
            <w:r w:rsidR="008947B6" w:rsidRPr="009D5614">
              <w:t>both costs and benefits</w:t>
            </w:r>
            <w:r w:rsidR="00A85FFB" w:rsidRPr="009D5614">
              <w:t>)</w:t>
            </w:r>
          </w:p>
        </w:tc>
      </w:tr>
      <w:tr w:rsidR="00642B6A" w:rsidRPr="00B80875" w14:paraId="73FAB141" w14:textId="77777777" w:rsidTr="0017217F">
        <w:trPr>
          <w:trHeight w:val="567"/>
        </w:trPr>
        <w:tc>
          <w:tcPr>
            <w:tcW w:w="993" w:type="dxa"/>
            <w:tcBorders>
              <w:top w:val="single" w:sz="4" w:space="0" w:color="FFFFFF" w:themeColor="background1"/>
              <w:bottom w:val="single" w:sz="4" w:space="0" w:color="D7C5E2" w:themeColor="accent4" w:themeTint="99"/>
            </w:tcBorders>
            <w:shd w:val="clear" w:color="auto" w:fill="E4D8EB" w:themeFill="accent4" w:themeFillTint="66"/>
            <w:vAlign w:val="center"/>
            <w:hideMark/>
          </w:tcPr>
          <w:p w14:paraId="61FF50F8" w14:textId="2CAD4389" w:rsidR="00642B6A" w:rsidRPr="00B80875" w:rsidRDefault="00C42CAF" w:rsidP="0047621D">
            <w:pPr>
              <w:jc w:val="center"/>
              <w:rPr>
                <w:rFonts w:asciiTheme="minorHAnsi" w:hAnsiTheme="minorHAnsi"/>
                <w:szCs w:val="20"/>
              </w:rPr>
            </w:pPr>
            <w:r w:rsidRPr="00B80875">
              <w:rPr>
                <w:rFonts w:asciiTheme="minorHAnsi" w:hAnsiTheme="minorHAnsi"/>
                <w:szCs w:val="20"/>
              </w:rPr>
              <w:t>3</w:t>
            </w:r>
            <w:r w:rsidR="00642B6A" w:rsidRPr="00B80875">
              <w:rPr>
                <w:rFonts w:asciiTheme="minorHAnsi" w:hAnsiTheme="minorHAnsi"/>
                <w:szCs w:val="20"/>
              </w:rPr>
              <w:t>–</w:t>
            </w:r>
            <w:r w:rsidR="007C4BF3" w:rsidRPr="00B80875">
              <w:rPr>
                <w:rFonts w:asciiTheme="minorHAnsi" w:hAnsiTheme="minorHAnsi"/>
                <w:szCs w:val="20"/>
              </w:rPr>
              <w:t>5</w:t>
            </w:r>
          </w:p>
        </w:tc>
        <w:tc>
          <w:tcPr>
            <w:tcW w:w="8363" w:type="dxa"/>
          </w:tcPr>
          <w:p w14:paraId="30390D72" w14:textId="7FA2522D" w:rsidR="00EC473D" w:rsidRPr="004B6DBA" w:rsidRDefault="00350CA0" w:rsidP="00967EF5">
            <w:pPr>
              <w:pStyle w:val="Tableheadings"/>
            </w:pPr>
            <w:r w:rsidRPr="004B6DBA">
              <w:t xml:space="preserve">Task </w:t>
            </w:r>
            <w:r w:rsidR="00EC473D" w:rsidRPr="004B6DBA">
              <w:t xml:space="preserve">1: </w:t>
            </w:r>
            <w:r w:rsidR="00CD7497" w:rsidRPr="004B6DBA">
              <w:t xml:space="preserve">Data </w:t>
            </w:r>
            <w:r w:rsidRPr="004B6DBA">
              <w:t>i</w:t>
            </w:r>
            <w:r w:rsidR="00CD7497" w:rsidRPr="004B6DBA">
              <w:t xml:space="preserve">nterpretation/Short </w:t>
            </w:r>
            <w:r w:rsidRPr="004B6DBA">
              <w:t>a</w:t>
            </w:r>
            <w:r w:rsidR="00CD7497" w:rsidRPr="004B6DBA">
              <w:t>nswer</w:t>
            </w:r>
          </w:p>
          <w:p w14:paraId="0B7DEF9D" w14:textId="390F61EF" w:rsidR="008C6815" w:rsidRPr="00FC2EC2" w:rsidRDefault="00092F17" w:rsidP="00967EF5">
            <w:pPr>
              <w:pStyle w:val="Tableheadings"/>
            </w:pPr>
            <w:r w:rsidRPr="004F28D3">
              <w:t xml:space="preserve">Economic </w:t>
            </w:r>
            <w:r w:rsidR="00350CA0" w:rsidRPr="004F28D3">
              <w:t>s</w:t>
            </w:r>
            <w:r w:rsidRPr="004F28D3">
              <w:t>kills</w:t>
            </w:r>
            <w:r w:rsidR="00CF2D2F" w:rsidRPr="00FC2EC2">
              <w:t xml:space="preserve">: </w:t>
            </w:r>
            <w:r w:rsidR="008C6815" w:rsidRPr="004B6DBA">
              <w:t>Reasoning, interpretation and analysis</w:t>
            </w:r>
          </w:p>
          <w:p w14:paraId="7A03B8A2" w14:textId="1FB4139B" w:rsidR="008C6815" w:rsidRPr="009D5614" w:rsidRDefault="008C6815" w:rsidP="009D5614">
            <w:pPr>
              <w:pStyle w:val="ListBullet"/>
            </w:pPr>
            <w:r w:rsidRPr="009D5614">
              <w:t xml:space="preserve">apply mathematical techniques relevant to </w:t>
            </w:r>
            <w:r w:rsidR="00C83CA0">
              <w:t xml:space="preserve">international trade, </w:t>
            </w:r>
            <w:commentRangeStart w:id="0"/>
            <w:r w:rsidR="00C83CA0">
              <w:t>including</w:t>
            </w:r>
            <w:commentRangeEnd w:id="0"/>
            <w:r w:rsidR="00FA42F2">
              <w:rPr>
                <w:rStyle w:val="CommentReference"/>
                <w:rFonts w:ascii="Arial" w:eastAsiaTheme="minorHAnsi" w:hAnsi="Arial"/>
              </w:rPr>
              <w:commentReference w:id="0"/>
            </w:r>
            <w:r w:rsidR="00C83CA0">
              <w:t xml:space="preserve"> </w:t>
            </w:r>
            <w:r w:rsidRPr="009D5614">
              <w:t xml:space="preserve">calculating </w:t>
            </w:r>
            <w:r w:rsidRPr="00C83CA0">
              <w:t>opportunity cost ratios</w:t>
            </w:r>
          </w:p>
          <w:p w14:paraId="7BCF1B14" w14:textId="77777777" w:rsidR="008C6815" w:rsidRPr="009D5614" w:rsidRDefault="008C6815" w:rsidP="009D5614">
            <w:pPr>
              <w:pStyle w:val="ListBullet"/>
            </w:pPr>
            <w:r w:rsidRPr="009D5614">
              <w:t xml:space="preserve">use microeconomic models to analyse Australia’s international transactions, including the </w:t>
            </w:r>
            <w:commentRangeStart w:id="1"/>
            <w:r w:rsidRPr="00C83CA0">
              <w:t>production possibility frontier model, the demand and supply model, the theories of absolute and comparative advantage</w:t>
            </w:r>
            <w:commentRangeEnd w:id="1"/>
            <w:r w:rsidR="009C548A">
              <w:rPr>
                <w:rStyle w:val="CommentReference"/>
                <w:rFonts w:ascii="Arial" w:eastAsiaTheme="minorHAnsi" w:hAnsi="Arial"/>
              </w:rPr>
              <w:commentReference w:id="1"/>
            </w:r>
          </w:p>
          <w:p w14:paraId="68AFA6A6" w14:textId="381FAB21" w:rsidR="008C6815" w:rsidRPr="004B6DBA" w:rsidRDefault="00B542EB" w:rsidP="00967EF5">
            <w:pPr>
              <w:pStyle w:val="Tableheadings"/>
            </w:pPr>
            <w:r w:rsidRPr="004F28D3">
              <w:t xml:space="preserve">Economic </w:t>
            </w:r>
            <w:r w:rsidR="00350CA0" w:rsidRPr="004F28D3">
              <w:t>s</w:t>
            </w:r>
            <w:r w:rsidRPr="004F28D3">
              <w:t>kills</w:t>
            </w:r>
            <w:r w:rsidRPr="002E5C45">
              <w:t xml:space="preserve">: </w:t>
            </w:r>
            <w:r w:rsidR="008C6815" w:rsidRPr="004B6DBA">
              <w:t>Communication</w:t>
            </w:r>
          </w:p>
          <w:p w14:paraId="359927B1" w14:textId="77777777" w:rsidR="008C6815" w:rsidRPr="009D5614" w:rsidRDefault="008C6815" w:rsidP="009D5614">
            <w:pPr>
              <w:pStyle w:val="ListBullet"/>
            </w:pPr>
            <w:r w:rsidRPr="009D5614">
              <w:t>select and use appropriate terminology</w:t>
            </w:r>
          </w:p>
          <w:p w14:paraId="4F946EAB" w14:textId="77777777" w:rsidR="008C6815" w:rsidRPr="009D5614" w:rsidRDefault="008C6815" w:rsidP="009D5614">
            <w:pPr>
              <w:pStyle w:val="ListBullet"/>
            </w:pPr>
            <w:r w:rsidRPr="009D5614">
              <w:t>select and use appropriate formats when communicating economic understandings</w:t>
            </w:r>
          </w:p>
          <w:p w14:paraId="72B5CF52" w14:textId="3E079EBF" w:rsidR="00092F17" w:rsidRPr="00FC2EC2" w:rsidRDefault="008C6815" w:rsidP="009D5614">
            <w:pPr>
              <w:pStyle w:val="ListBullet"/>
            </w:pPr>
            <w:r w:rsidRPr="009D5614">
              <w:t>use economic models to</w:t>
            </w:r>
            <w:r w:rsidRPr="00FC2EC2">
              <w:t xml:space="preserve"> convey economic theory and reasoning about Australia’s international transactions</w:t>
            </w:r>
          </w:p>
          <w:p w14:paraId="1AD2162F" w14:textId="7FB6550E" w:rsidR="00642B6A" w:rsidRPr="00B80875" w:rsidRDefault="00CF2D2F" w:rsidP="00967EF5">
            <w:pPr>
              <w:pStyle w:val="Tableheadings"/>
            </w:pPr>
            <w:r w:rsidRPr="00473AF2">
              <w:t xml:space="preserve">Economic </w:t>
            </w:r>
            <w:r w:rsidR="00350CA0" w:rsidRPr="00473AF2">
              <w:t>k</w:t>
            </w:r>
            <w:r w:rsidRPr="00473AF2">
              <w:t xml:space="preserve">nowledge and </w:t>
            </w:r>
            <w:r w:rsidR="00350CA0" w:rsidRPr="00473AF2">
              <w:t>u</w:t>
            </w:r>
            <w:r w:rsidRPr="00473AF2">
              <w:t>nderstanding</w:t>
            </w:r>
            <w:r w:rsidR="00B542EB">
              <w:t xml:space="preserve">: </w:t>
            </w:r>
            <w:r w:rsidR="0047621D" w:rsidRPr="00B80875">
              <w:t>Free trade and protection</w:t>
            </w:r>
          </w:p>
          <w:p w14:paraId="08A9C59F" w14:textId="7469AAD9" w:rsidR="00642B6A" w:rsidRPr="00B80875" w:rsidRDefault="00A22AF6" w:rsidP="009D5614">
            <w:pPr>
              <w:pStyle w:val="ListBullet"/>
            </w:pPr>
            <w:r w:rsidRPr="00B80875">
              <w:t xml:space="preserve">the </w:t>
            </w:r>
            <w:r w:rsidR="00C42CAF" w:rsidRPr="00B80875">
              <w:t>significance of trade for the Australian economy</w:t>
            </w:r>
            <w:r w:rsidR="007E49B9">
              <w:t xml:space="preserve"> </w:t>
            </w:r>
            <w:r w:rsidR="00622CBA" w:rsidRPr="00B80875">
              <w:t xml:space="preserve">(e.g. proportion of GDP </w:t>
            </w:r>
            <w:r w:rsidR="004169B7" w:rsidRPr="00B80875">
              <w:t>and</w:t>
            </w:r>
            <w:r w:rsidR="00622CBA" w:rsidRPr="00B80875">
              <w:t xml:space="preserve"> employment linked to trade)</w:t>
            </w:r>
          </w:p>
          <w:p w14:paraId="740F0F3E" w14:textId="673A0637" w:rsidR="00642B6A" w:rsidRPr="00B80875" w:rsidRDefault="00A22AF6" w:rsidP="009D5614">
            <w:pPr>
              <w:pStyle w:val="ListBullet"/>
            </w:pPr>
            <w:r w:rsidRPr="00B80875">
              <w:t xml:space="preserve">the </w:t>
            </w:r>
            <w:r w:rsidR="00A16F35" w:rsidRPr="00B80875">
              <w:t>theory of absolute and comparative advantage</w:t>
            </w:r>
          </w:p>
          <w:p w14:paraId="07B2EE2F" w14:textId="65E46EB0" w:rsidR="006F4B36" w:rsidRPr="00B80875" w:rsidRDefault="008F0B77" w:rsidP="009D5614">
            <w:pPr>
              <w:pStyle w:val="ListBullet"/>
            </w:pPr>
            <w:commentRangeStart w:id="2"/>
            <w:r>
              <w:t>c</w:t>
            </w:r>
            <w:r w:rsidR="006F4B36" w:rsidRPr="00B80875">
              <w:t>omparative</w:t>
            </w:r>
            <w:commentRangeEnd w:id="2"/>
            <w:r w:rsidR="009C548A">
              <w:rPr>
                <w:rStyle w:val="CommentReference"/>
                <w:rFonts w:ascii="Arial" w:eastAsiaTheme="minorHAnsi" w:hAnsi="Arial"/>
              </w:rPr>
              <w:commentReference w:id="2"/>
            </w:r>
            <w:r w:rsidR="006F4B36" w:rsidRPr="00B80875">
              <w:t xml:space="preserve"> advantage and the concept of opportunity cost</w:t>
            </w:r>
          </w:p>
          <w:p w14:paraId="59289F2E" w14:textId="524E5C79" w:rsidR="00F22B1C" w:rsidRPr="00B80875" w:rsidRDefault="000F4927" w:rsidP="009D5614">
            <w:pPr>
              <w:pStyle w:val="ListBullet"/>
            </w:pPr>
            <w:r w:rsidRPr="00B80875">
              <w:t>sources of comparative advantage</w:t>
            </w:r>
          </w:p>
          <w:p w14:paraId="491C585F" w14:textId="0104F702" w:rsidR="00F35218" w:rsidRPr="00B80875" w:rsidRDefault="00A22AF6" w:rsidP="009D5614">
            <w:pPr>
              <w:pStyle w:val="ListBullet"/>
            </w:pPr>
            <w:r w:rsidRPr="00B80875">
              <w:t xml:space="preserve">the </w:t>
            </w:r>
            <w:r w:rsidR="00F35218" w:rsidRPr="00B80875">
              <w:t>gains from specialisation and trade</w:t>
            </w:r>
          </w:p>
          <w:p w14:paraId="00C8BD5B" w14:textId="4A75B591" w:rsidR="00A16F35" w:rsidRPr="00B80875" w:rsidRDefault="00A22AF6" w:rsidP="009D5614">
            <w:pPr>
              <w:pStyle w:val="ListBullet"/>
            </w:pPr>
            <w:r w:rsidRPr="00B80875">
              <w:t xml:space="preserve">comparative </w:t>
            </w:r>
            <w:r w:rsidR="00A16F35" w:rsidRPr="00B80875">
              <w:t xml:space="preserve">advantage and the </w:t>
            </w:r>
            <w:r w:rsidR="007A7636" w:rsidRPr="00B80875">
              <w:t>production possibility frontier (</w:t>
            </w:r>
            <w:r w:rsidR="00A16F35" w:rsidRPr="00B80875">
              <w:t>PPF</w:t>
            </w:r>
            <w:r w:rsidR="007A7636" w:rsidRPr="00B80875">
              <w:t>)</w:t>
            </w:r>
            <w:r w:rsidR="00A16F35" w:rsidRPr="00B80875">
              <w:t xml:space="preserve"> model</w:t>
            </w:r>
          </w:p>
          <w:p w14:paraId="3014FB0A" w14:textId="416FF9B8" w:rsidR="00A16F35" w:rsidRPr="00B80875" w:rsidRDefault="00A22AF6" w:rsidP="009D5614">
            <w:pPr>
              <w:pStyle w:val="ListBullet"/>
            </w:pPr>
            <w:r w:rsidRPr="00B80875">
              <w:t xml:space="preserve">comparative </w:t>
            </w:r>
            <w:r w:rsidR="00A16F35" w:rsidRPr="00B80875">
              <w:t>advantage and the demand/supply model</w:t>
            </w:r>
          </w:p>
          <w:p w14:paraId="22951D04" w14:textId="6BCC5D2C" w:rsidR="007C4BF3" w:rsidRPr="00B80875" w:rsidRDefault="00A22AF6" w:rsidP="009D5614">
            <w:pPr>
              <w:pStyle w:val="ListBullet"/>
            </w:pPr>
            <w:r w:rsidRPr="00B80875">
              <w:t xml:space="preserve">the </w:t>
            </w:r>
            <w:r w:rsidR="00F35218" w:rsidRPr="00B80875">
              <w:t xml:space="preserve">gains from both </w:t>
            </w:r>
            <w:r w:rsidR="007C4BF3" w:rsidRPr="00B80875">
              <w:t xml:space="preserve">exports and imports </w:t>
            </w:r>
            <w:r w:rsidR="007A7636" w:rsidRPr="00B80875">
              <w:t>(</w:t>
            </w:r>
            <w:r w:rsidR="000F4927" w:rsidRPr="00B80875">
              <w:t>changes to consumer and producer surplus</w:t>
            </w:r>
            <w:r w:rsidR="007A7636" w:rsidRPr="00B80875">
              <w:t>)</w:t>
            </w:r>
          </w:p>
          <w:p w14:paraId="2FEF8434" w14:textId="60B2B813" w:rsidR="00A16F35" w:rsidRPr="00B80875" w:rsidRDefault="00A22AF6" w:rsidP="009D5614">
            <w:pPr>
              <w:pStyle w:val="ListBullet"/>
            </w:pPr>
            <w:r w:rsidRPr="00B80875">
              <w:t xml:space="preserve">the </w:t>
            </w:r>
            <w:r w:rsidR="007C4BF3" w:rsidRPr="00B80875">
              <w:t>meaning of protection</w:t>
            </w:r>
          </w:p>
          <w:p w14:paraId="79FA57FA" w14:textId="2DF4651E" w:rsidR="007C4BF3" w:rsidRPr="00B80875" w:rsidRDefault="00A22AF6" w:rsidP="009D5614">
            <w:pPr>
              <w:pStyle w:val="ListBullet"/>
            </w:pPr>
            <w:r w:rsidRPr="00B80875">
              <w:t xml:space="preserve">different </w:t>
            </w:r>
            <w:r w:rsidR="007C4BF3" w:rsidRPr="00B80875">
              <w:t>forms of protection</w:t>
            </w:r>
            <w:r w:rsidR="007A7636" w:rsidRPr="00B80875">
              <w:t>, including</w:t>
            </w:r>
            <w:r w:rsidR="007C4BF3" w:rsidRPr="00B80875">
              <w:t xml:space="preserve"> tariffs and subsidies</w:t>
            </w:r>
          </w:p>
          <w:p w14:paraId="31856D00" w14:textId="12A4053E" w:rsidR="007C4BF3" w:rsidRPr="00B80875" w:rsidRDefault="00A22AF6" w:rsidP="009D5614">
            <w:pPr>
              <w:pStyle w:val="ListBullet"/>
            </w:pPr>
            <w:r w:rsidRPr="00B80875">
              <w:t xml:space="preserve">the </w:t>
            </w:r>
            <w:r w:rsidR="00CB07E5" w:rsidRPr="00B80875">
              <w:t xml:space="preserve">effects of a tariff </w:t>
            </w:r>
            <w:r w:rsidR="007A7636" w:rsidRPr="00B80875">
              <w:t>using</w:t>
            </w:r>
            <w:r w:rsidR="00CB07E5" w:rsidRPr="00B80875">
              <w:t xml:space="preserve"> the demand/supply model</w:t>
            </w:r>
          </w:p>
          <w:p w14:paraId="47FA917E" w14:textId="08A11B3E" w:rsidR="00CB07E5" w:rsidRPr="00B80875" w:rsidRDefault="00A22AF6" w:rsidP="009D5614">
            <w:pPr>
              <w:pStyle w:val="ListBullet"/>
            </w:pPr>
            <w:r w:rsidRPr="00B80875">
              <w:t xml:space="preserve">the </w:t>
            </w:r>
            <w:r w:rsidR="00CB07E5" w:rsidRPr="00B80875">
              <w:t xml:space="preserve">effects of a subsidy </w:t>
            </w:r>
            <w:r w:rsidR="007A7636" w:rsidRPr="00B80875">
              <w:t>using</w:t>
            </w:r>
            <w:r w:rsidR="00CB07E5" w:rsidRPr="00B80875">
              <w:t xml:space="preserve"> the demand/supply model</w:t>
            </w:r>
          </w:p>
          <w:p w14:paraId="4F01C05C" w14:textId="1AFAE1F2" w:rsidR="00CB07E5" w:rsidRPr="00B80875" w:rsidRDefault="00A22AF6" w:rsidP="009D5614">
            <w:pPr>
              <w:pStyle w:val="ListBullet"/>
            </w:pPr>
            <w:r w:rsidRPr="00B80875">
              <w:t xml:space="preserve">the </w:t>
            </w:r>
            <w:r w:rsidR="00CB07E5" w:rsidRPr="00B80875">
              <w:t>inefficiency of tariffs and subsidies</w:t>
            </w:r>
            <w:r w:rsidR="007A7636" w:rsidRPr="00B80875">
              <w:t xml:space="preserve"> (</w:t>
            </w:r>
            <w:r w:rsidR="000F4927" w:rsidRPr="00B80875">
              <w:t>changes to consumer and producer surplus</w:t>
            </w:r>
            <w:r w:rsidR="007A7636" w:rsidRPr="00B80875">
              <w:t>)</w:t>
            </w:r>
          </w:p>
          <w:p w14:paraId="2E2FC710" w14:textId="50983B73" w:rsidR="00A16F35" w:rsidRPr="00B80875" w:rsidRDefault="00A22AF6" w:rsidP="009D5614">
            <w:pPr>
              <w:pStyle w:val="ListBullet"/>
            </w:pPr>
            <w:r w:rsidRPr="00B80875">
              <w:t xml:space="preserve">the </w:t>
            </w:r>
            <w:r w:rsidR="000943CF" w:rsidRPr="00B80875">
              <w:t>concept of trade liberalisation</w:t>
            </w:r>
          </w:p>
          <w:p w14:paraId="56FF6C7F" w14:textId="53DC4A1B" w:rsidR="000943CF" w:rsidRPr="00B80875" w:rsidRDefault="000943CF" w:rsidP="009D5614">
            <w:pPr>
              <w:pStyle w:val="ListBullet"/>
            </w:pPr>
            <w:r w:rsidRPr="00B80875">
              <w:t>arguments for trade liberalisation</w:t>
            </w:r>
          </w:p>
          <w:p w14:paraId="6FBFEA6A" w14:textId="6C4C84D9" w:rsidR="000943CF" w:rsidRPr="00B80875" w:rsidRDefault="00A22AF6" w:rsidP="009D5614">
            <w:pPr>
              <w:pStyle w:val="ListBullet"/>
            </w:pPr>
            <w:r w:rsidRPr="00B80875">
              <w:t xml:space="preserve">the </w:t>
            </w:r>
            <w:r w:rsidR="000943CF" w:rsidRPr="00B80875">
              <w:t>arguments against trade liberalisation (arguments for protection)</w:t>
            </w:r>
          </w:p>
          <w:p w14:paraId="4B64EA3C" w14:textId="10DB4143" w:rsidR="000943CF" w:rsidRPr="00B80875" w:rsidRDefault="00A22AF6" w:rsidP="009D5614">
            <w:pPr>
              <w:pStyle w:val="ListBullet"/>
            </w:pPr>
            <w:r w:rsidRPr="00B80875">
              <w:t xml:space="preserve">the </w:t>
            </w:r>
            <w:r w:rsidR="00A85FFB" w:rsidRPr="00B80875">
              <w:t>influence of world organisations on global trade</w:t>
            </w:r>
            <w:r w:rsidR="007A7636" w:rsidRPr="00B80875">
              <w:t>, including the World Trade Organisation (</w:t>
            </w:r>
            <w:r w:rsidR="00A85FFB" w:rsidRPr="00B80875">
              <w:t>WTO</w:t>
            </w:r>
            <w:r w:rsidR="007A7636" w:rsidRPr="00B80875">
              <w:t>) and the International Monetary Fund (</w:t>
            </w:r>
            <w:r w:rsidR="00A85FFB" w:rsidRPr="00B80875">
              <w:t xml:space="preserve">IMF) </w:t>
            </w:r>
          </w:p>
          <w:p w14:paraId="772AC066" w14:textId="15693A84" w:rsidR="006F4B36" w:rsidRPr="00B80875" w:rsidRDefault="00A22AF6" w:rsidP="009D5614">
            <w:pPr>
              <w:pStyle w:val="ListBullet"/>
            </w:pPr>
            <w:r w:rsidRPr="00B80875">
              <w:t xml:space="preserve">the </w:t>
            </w:r>
            <w:r w:rsidR="006F4B36" w:rsidRPr="00B80875">
              <w:t xml:space="preserve">concept of free trade agreements </w:t>
            </w:r>
          </w:p>
          <w:p w14:paraId="58C6473C" w14:textId="022D0A52" w:rsidR="001611C8" w:rsidRPr="00B80875" w:rsidRDefault="00A22AF6" w:rsidP="009D5614">
            <w:pPr>
              <w:pStyle w:val="ListBullet"/>
            </w:pPr>
            <w:r w:rsidRPr="00B80875">
              <w:t xml:space="preserve">types </w:t>
            </w:r>
            <w:r w:rsidR="001611C8" w:rsidRPr="00B80875">
              <w:t xml:space="preserve">of free trade agreements (multilateral, regional and bilateral) </w:t>
            </w:r>
          </w:p>
          <w:p w14:paraId="12AF8E81" w14:textId="62E287CB" w:rsidR="008C6815" w:rsidRPr="00E0071D" w:rsidRDefault="00A22AF6" w:rsidP="00A01FF8">
            <w:pPr>
              <w:pStyle w:val="ListBullet"/>
              <w:spacing w:after="0"/>
            </w:pPr>
            <w:r w:rsidRPr="00B80875">
              <w:t xml:space="preserve">recent </w:t>
            </w:r>
            <w:r w:rsidR="001611C8" w:rsidRPr="00B80875">
              <w:t>Australian</w:t>
            </w:r>
            <w:r w:rsidR="006F4B36" w:rsidRPr="00B80875">
              <w:t xml:space="preserve"> free trade agreements</w:t>
            </w:r>
          </w:p>
        </w:tc>
      </w:tr>
      <w:tr w:rsidR="006A13C0" w:rsidRPr="00B80875" w14:paraId="2A6108D1" w14:textId="77777777" w:rsidTr="00F65F10">
        <w:trPr>
          <w:trHeight w:val="2835"/>
        </w:trPr>
        <w:tc>
          <w:tcPr>
            <w:tcW w:w="993" w:type="dxa"/>
            <w:tcBorders>
              <w:top w:val="single" w:sz="4" w:space="0" w:color="D7C5E2" w:themeColor="accent4" w:themeTint="99"/>
              <w:bottom w:val="single" w:sz="4" w:space="0" w:color="FFFFFF" w:themeColor="background1"/>
            </w:tcBorders>
            <w:shd w:val="clear" w:color="auto" w:fill="E4D8EB" w:themeFill="accent4" w:themeFillTint="66"/>
            <w:vAlign w:val="center"/>
            <w:hideMark/>
          </w:tcPr>
          <w:p w14:paraId="736F109F" w14:textId="797ACE65" w:rsidR="006A13C0" w:rsidRPr="00B80875" w:rsidRDefault="007C4BF3" w:rsidP="00187CB9">
            <w:pPr>
              <w:jc w:val="center"/>
              <w:rPr>
                <w:rFonts w:asciiTheme="minorHAnsi" w:hAnsiTheme="minorHAnsi"/>
                <w:szCs w:val="20"/>
              </w:rPr>
            </w:pPr>
            <w:r w:rsidRPr="00B80875">
              <w:rPr>
                <w:rFonts w:asciiTheme="minorHAnsi" w:hAnsiTheme="minorHAnsi"/>
                <w:szCs w:val="20"/>
              </w:rPr>
              <w:t>6</w:t>
            </w:r>
          </w:p>
        </w:tc>
        <w:tc>
          <w:tcPr>
            <w:tcW w:w="8363" w:type="dxa"/>
          </w:tcPr>
          <w:p w14:paraId="65970ACC" w14:textId="14DC6AD9" w:rsidR="00FC412A" w:rsidRDefault="00350CA0" w:rsidP="00967EF5">
            <w:pPr>
              <w:pStyle w:val="Tableheadings"/>
            </w:pPr>
            <w:r w:rsidRPr="00FC2EC2">
              <w:t xml:space="preserve">Task </w:t>
            </w:r>
            <w:r w:rsidR="00FC412A" w:rsidRPr="00FC2EC2">
              <w:t xml:space="preserve">2: </w:t>
            </w:r>
            <w:r w:rsidR="00CD7497">
              <w:t xml:space="preserve">Extended </w:t>
            </w:r>
            <w:r>
              <w:t>a</w:t>
            </w:r>
            <w:r w:rsidR="00CD7497">
              <w:t>nswer</w:t>
            </w:r>
          </w:p>
          <w:p w14:paraId="1BD4DCB3" w14:textId="2333D08F" w:rsidR="00C83719" w:rsidRPr="00FC2EC2" w:rsidRDefault="00CF2D2F" w:rsidP="00967EF5">
            <w:pPr>
              <w:pStyle w:val="Tableheadings"/>
            </w:pPr>
            <w:r w:rsidRPr="00FC2EC2">
              <w:t xml:space="preserve">Economic </w:t>
            </w:r>
            <w:r w:rsidR="00350CA0" w:rsidRPr="00FC2EC2">
              <w:t>s</w:t>
            </w:r>
            <w:r w:rsidRPr="00FC2EC2">
              <w:t xml:space="preserve">kills: </w:t>
            </w:r>
            <w:r w:rsidR="00C83719" w:rsidRPr="004B6DBA">
              <w:t>Reasoning, interpretation and analysis</w:t>
            </w:r>
          </w:p>
          <w:p w14:paraId="7AE6D0CA" w14:textId="56D86FEB" w:rsidR="00C83719" w:rsidRPr="009D5614" w:rsidRDefault="00C83719" w:rsidP="009D5614">
            <w:pPr>
              <w:pStyle w:val="ListBullet"/>
            </w:pPr>
            <w:r w:rsidRPr="009D5614">
              <w:t>identify trends and relationships in economic information and data on Australia’s international trading relationships</w:t>
            </w:r>
          </w:p>
          <w:p w14:paraId="2F4314CB" w14:textId="7BD4E926" w:rsidR="00C83719" w:rsidRPr="009D5614" w:rsidRDefault="00C83719" w:rsidP="009D5614">
            <w:pPr>
              <w:pStyle w:val="ListBullet"/>
            </w:pPr>
            <w:r w:rsidRPr="009D5614">
              <w:t>apply economic reasoning to analyse issues and events in relation to Australia’s international transactions</w:t>
            </w:r>
          </w:p>
          <w:p w14:paraId="06DD8BB1" w14:textId="2450935B" w:rsidR="006A13C0" w:rsidRPr="00B80875" w:rsidRDefault="00CF2D2F" w:rsidP="00967EF5">
            <w:pPr>
              <w:pStyle w:val="Tableheadings"/>
            </w:pPr>
            <w:r w:rsidRPr="004F28D3">
              <w:t xml:space="preserve">Economic </w:t>
            </w:r>
            <w:r w:rsidR="00350CA0" w:rsidRPr="004F28D3">
              <w:t>k</w:t>
            </w:r>
            <w:r w:rsidRPr="004F28D3">
              <w:t xml:space="preserve">nowledge and </w:t>
            </w:r>
            <w:r w:rsidR="00350CA0" w:rsidRPr="004F28D3">
              <w:t>u</w:t>
            </w:r>
            <w:r w:rsidRPr="004F28D3">
              <w:t>nderstanding</w:t>
            </w:r>
            <w:r w:rsidR="00A24FEA">
              <w:t xml:space="preserve">: </w:t>
            </w:r>
            <w:r w:rsidR="00E3611E" w:rsidRPr="00B80875">
              <w:t>Pattern of trade</w:t>
            </w:r>
          </w:p>
          <w:p w14:paraId="7C44B660" w14:textId="46D393D1" w:rsidR="006A13C0" w:rsidRPr="00B80875" w:rsidRDefault="007C4BF3" w:rsidP="009D5614">
            <w:pPr>
              <w:pStyle w:val="ListBullet"/>
            </w:pPr>
            <w:r w:rsidRPr="00B80875">
              <w:t>Australia’s trade intensity – measurement, comparison with other countries</w:t>
            </w:r>
          </w:p>
          <w:p w14:paraId="0E1253E6" w14:textId="2943B846" w:rsidR="00D60993" w:rsidRPr="00B80875" w:rsidRDefault="00A22AF6" w:rsidP="009D5614">
            <w:pPr>
              <w:pStyle w:val="ListBullet"/>
            </w:pPr>
            <w:r w:rsidRPr="00B80875">
              <w:t xml:space="preserve">changes </w:t>
            </w:r>
            <w:r w:rsidR="00D60993" w:rsidRPr="00B80875">
              <w:t>in Australia’s trade intensity</w:t>
            </w:r>
          </w:p>
          <w:p w14:paraId="6483393C" w14:textId="4F85ABA1" w:rsidR="006F4B36" w:rsidRPr="00B80875" w:rsidRDefault="00A22AF6" w:rsidP="009D5614">
            <w:pPr>
              <w:pStyle w:val="ListBullet"/>
            </w:pPr>
            <w:r w:rsidRPr="00B80875">
              <w:t xml:space="preserve">the </w:t>
            </w:r>
            <w:r w:rsidR="007C4BF3" w:rsidRPr="00B80875">
              <w:t>composition of Australia’s trade – main cat</w:t>
            </w:r>
            <w:r w:rsidR="001611C8" w:rsidRPr="00B80875">
              <w:t>egories of exports and import</w:t>
            </w:r>
            <w:r w:rsidR="006F4B36" w:rsidRPr="00B80875">
              <w:t>s</w:t>
            </w:r>
          </w:p>
          <w:p w14:paraId="7315801A" w14:textId="56B91B5C" w:rsidR="0074508B" w:rsidRPr="00B80875" w:rsidRDefault="00A22AF6" w:rsidP="009D5614">
            <w:pPr>
              <w:pStyle w:val="ListBullet"/>
            </w:pPr>
            <w:r w:rsidRPr="00B80875">
              <w:t xml:space="preserve">changes </w:t>
            </w:r>
            <w:r w:rsidR="007C4BF3" w:rsidRPr="00B80875">
              <w:t xml:space="preserve">in </w:t>
            </w:r>
            <w:r w:rsidR="006F4B36" w:rsidRPr="00B80875">
              <w:t>Australia’s</w:t>
            </w:r>
            <w:r w:rsidR="007C4BF3" w:rsidRPr="00B80875">
              <w:t xml:space="preserve"> composition of trade over time</w:t>
            </w:r>
          </w:p>
          <w:p w14:paraId="113BA9F1" w14:textId="2F95096B" w:rsidR="006F4B36" w:rsidRPr="00B80875" w:rsidRDefault="00A22AF6" w:rsidP="009D5614">
            <w:pPr>
              <w:pStyle w:val="ListBullet"/>
            </w:pPr>
            <w:r w:rsidRPr="00B80875">
              <w:t xml:space="preserve">the </w:t>
            </w:r>
            <w:r w:rsidR="007C4BF3" w:rsidRPr="00B80875">
              <w:t>direction of Australia’s trade – main trading partne</w:t>
            </w:r>
            <w:r w:rsidR="006F4B36" w:rsidRPr="00B80875">
              <w:t>rs for both exports and imports</w:t>
            </w:r>
            <w:r w:rsidR="007C4BF3" w:rsidRPr="00B80875">
              <w:t xml:space="preserve"> </w:t>
            </w:r>
          </w:p>
          <w:p w14:paraId="1AE04FC5" w14:textId="3C4CAA89" w:rsidR="006F4B36" w:rsidRPr="00B80875" w:rsidRDefault="00A22AF6" w:rsidP="009D5614">
            <w:pPr>
              <w:pStyle w:val="ListBullet"/>
            </w:pPr>
            <w:r w:rsidRPr="00B80875">
              <w:t xml:space="preserve">changes </w:t>
            </w:r>
            <w:r w:rsidR="007C4BF3" w:rsidRPr="00B80875">
              <w:t xml:space="preserve">in the direction of </w:t>
            </w:r>
            <w:r w:rsidR="006F4B36" w:rsidRPr="00B80875">
              <w:t xml:space="preserve">Australia’s </w:t>
            </w:r>
            <w:r w:rsidR="007C4BF3" w:rsidRPr="00B80875">
              <w:t>trade over time</w:t>
            </w:r>
          </w:p>
        </w:tc>
      </w:tr>
      <w:tr w:rsidR="006A13C0" w:rsidRPr="00B80875" w14:paraId="13EA40A2" w14:textId="77777777" w:rsidTr="005E46F3">
        <w:trPr>
          <w:trHeight w:val="268"/>
        </w:trPr>
        <w:tc>
          <w:tcPr>
            <w:tcW w:w="993"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679C0201" w14:textId="7B42FAAB" w:rsidR="006A13C0" w:rsidRPr="00B80875" w:rsidRDefault="007C4BF3" w:rsidP="00187CB9">
            <w:pPr>
              <w:jc w:val="center"/>
              <w:rPr>
                <w:rFonts w:asciiTheme="minorHAnsi" w:hAnsiTheme="minorHAnsi"/>
                <w:szCs w:val="20"/>
              </w:rPr>
            </w:pPr>
            <w:r w:rsidRPr="00B80875">
              <w:rPr>
                <w:rFonts w:asciiTheme="minorHAnsi" w:hAnsiTheme="minorHAnsi"/>
                <w:szCs w:val="20"/>
              </w:rPr>
              <w:t>7</w:t>
            </w:r>
            <w:r w:rsidR="003E79A7" w:rsidRPr="00B80875">
              <w:rPr>
                <w:rFonts w:asciiTheme="minorHAnsi" w:hAnsiTheme="minorHAnsi"/>
                <w:szCs w:val="20"/>
              </w:rPr>
              <w:t>–</w:t>
            </w:r>
            <w:r w:rsidRPr="00B80875">
              <w:rPr>
                <w:rFonts w:asciiTheme="minorHAnsi" w:hAnsiTheme="minorHAnsi"/>
                <w:szCs w:val="20"/>
              </w:rPr>
              <w:t>8</w:t>
            </w:r>
          </w:p>
        </w:tc>
        <w:tc>
          <w:tcPr>
            <w:tcW w:w="8363" w:type="dxa"/>
          </w:tcPr>
          <w:p w14:paraId="596385F2" w14:textId="347D4021" w:rsidR="00C83719" w:rsidRPr="00FC2EC2" w:rsidRDefault="00CF2D2F" w:rsidP="00967EF5">
            <w:pPr>
              <w:pStyle w:val="Tableheadings"/>
            </w:pPr>
            <w:r w:rsidRPr="00FC2EC2">
              <w:t xml:space="preserve">Economic </w:t>
            </w:r>
            <w:r w:rsidR="00350CA0" w:rsidRPr="00FC2EC2">
              <w:t>s</w:t>
            </w:r>
            <w:r w:rsidRPr="00FC2EC2">
              <w:t xml:space="preserve">kills: </w:t>
            </w:r>
            <w:r w:rsidR="00C83719" w:rsidRPr="004B6DBA">
              <w:t>Reasoning, interpretation and analysis</w:t>
            </w:r>
          </w:p>
          <w:p w14:paraId="5A167C04" w14:textId="77777777" w:rsidR="00C83719" w:rsidRPr="009D5614" w:rsidRDefault="00C83719" w:rsidP="009D5614">
            <w:pPr>
              <w:pStyle w:val="ListBullet"/>
            </w:pPr>
            <w:r w:rsidRPr="009D5614">
              <w:t>identify trends and relationships in economic information and data on Australia’s international trading relationships</w:t>
            </w:r>
          </w:p>
          <w:p w14:paraId="2BA07CE5" w14:textId="740316FB" w:rsidR="00C83719" w:rsidRPr="00C83CA0" w:rsidRDefault="00C83719" w:rsidP="009D5614">
            <w:pPr>
              <w:pStyle w:val="ListBullet"/>
            </w:pPr>
            <w:r w:rsidRPr="009D5614">
              <w:t xml:space="preserve">apply mathematical techniques relevant to </w:t>
            </w:r>
            <w:r w:rsidR="00C83CA0">
              <w:t xml:space="preserve">international trade, </w:t>
            </w:r>
            <w:commentRangeStart w:id="3"/>
            <w:r w:rsidR="00C83CA0">
              <w:t xml:space="preserve">including </w:t>
            </w:r>
            <w:commentRangeEnd w:id="3"/>
            <w:r w:rsidR="007A46B1">
              <w:rPr>
                <w:rStyle w:val="CommentReference"/>
                <w:rFonts w:ascii="Arial" w:eastAsiaTheme="minorHAnsi" w:hAnsi="Arial"/>
              </w:rPr>
              <w:commentReference w:id="3"/>
            </w:r>
            <w:commentRangeStart w:id="4"/>
            <w:r w:rsidRPr="00C83CA0">
              <w:t>balance of payments calculations, such as the balance on goods and services, balance on current account, balance on capital and financial account</w:t>
            </w:r>
            <w:commentRangeEnd w:id="4"/>
            <w:r w:rsidR="007A46B1">
              <w:rPr>
                <w:rStyle w:val="CommentReference"/>
                <w:rFonts w:ascii="Arial" w:eastAsiaTheme="minorHAnsi" w:hAnsi="Arial"/>
              </w:rPr>
              <w:commentReference w:id="4"/>
            </w:r>
          </w:p>
          <w:p w14:paraId="46E4360E" w14:textId="77777777" w:rsidR="00C83719" w:rsidRPr="00FC2EC2" w:rsidRDefault="00C83719" w:rsidP="009D5614">
            <w:pPr>
              <w:pStyle w:val="ListBullet"/>
            </w:pPr>
            <w:r w:rsidRPr="009D5614">
              <w:t>apply economic reasoning to</w:t>
            </w:r>
            <w:r w:rsidRPr="00FC2EC2">
              <w:t xml:space="preserve"> analyse issues and events in relation to Australia’s international transactions</w:t>
            </w:r>
          </w:p>
          <w:p w14:paraId="2EA18A83" w14:textId="77777777" w:rsidR="001D5777" w:rsidRPr="00FC2EC2" w:rsidRDefault="001D5777" w:rsidP="009D5614">
            <w:pPr>
              <w:pStyle w:val="ListBullet"/>
            </w:pPr>
            <w:r w:rsidRPr="00FC2EC2">
              <w:t xml:space="preserve">use </w:t>
            </w:r>
            <w:r w:rsidRPr="009D5614">
              <w:t>evidence</w:t>
            </w:r>
            <w:r w:rsidRPr="00FC2EC2">
              <w:t xml:space="preserve"> found in economic information and data to justify a conclusion</w:t>
            </w:r>
          </w:p>
          <w:p w14:paraId="6705D686" w14:textId="417A2CF5" w:rsidR="006A13C0" w:rsidRPr="00B80875" w:rsidRDefault="00CF2D2F" w:rsidP="00967EF5">
            <w:pPr>
              <w:pStyle w:val="Tableheadings"/>
            </w:pPr>
            <w:r w:rsidRPr="004F28D3">
              <w:t xml:space="preserve">Economic </w:t>
            </w:r>
            <w:r w:rsidR="00350CA0" w:rsidRPr="004F28D3">
              <w:t>k</w:t>
            </w:r>
            <w:r w:rsidRPr="004F28D3">
              <w:t xml:space="preserve">nowledge and </w:t>
            </w:r>
            <w:r w:rsidR="00350CA0" w:rsidRPr="004F28D3">
              <w:t>u</w:t>
            </w:r>
            <w:r w:rsidRPr="004F28D3">
              <w:t>nderstanding</w:t>
            </w:r>
            <w:r w:rsidR="00A24FEA">
              <w:t xml:space="preserve">: </w:t>
            </w:r>
            <w:r w:rsidR="00E3611E" w:rsidRPr="00B80875">
              <w:t>Balance of payments</w:t>
            </w:r>
          </w:p>
          <w:p w14:paraId="6603BDAD" w14:textId="7811B0B2" w:rsidR="006A13C0" w:rsidRPr="001E398C" w:rsidRDefault="001343F1" w:rsidP="001E398C">
            <w:pPr>
              <w:pStyle w:val="ListBullet"/>
            </w:pPr>
            <w:r w:rsidRPr="001E398C">
              <w:t xml:space="preserve">the </w:t>
            </w:r>
            <w:r w:rsidR="005D72A8" w:rsidRPr="001E398C">
              <w:t>concept of the balance of payments</w:t>
            </w:r>
          </w:p>
          <w:p w14:paraId="1296FB4E" w14:textId="1CA15011" w:rsidR="005D72A8" w:rsidRPr="001E398C" w:rsidRDefault="001343F1" w:rsidP="001E398C">
            <w:pPr>
              <w:pStyle w:val="ListBullet"/>
            </w:pPr>
            <w:r w:rsidRPr="001E398C">
              <w:t xml:space="preserve">the </w:t>
            </w:r>
            <w:r w:rsidR="005D72A8" w:rsidRPr="001E398C">
              <w:t>structure of Australia’s balance of payments – the current account and the capital/financial account</w:t>
            </w:r>
          </w:p>
          <w:p w14:paraId="66CF4AAE" w14:textId="029858A2" w:rsidR="001611C8" w:rsidRPr="001E398C" w:rsidRDefault="001343F1" w:rsidP="001E398C">
            <w:pPr>
              <w:pStyle w:val="ListBullet"/>
            </w:pPr>
            <w:r w:rsidRPr="001E398C">
              <w:t xml:space="preserve">the </w:t>
            </w:r>
            <w:r w:rsidR="001611C8" w:rsidRPr="001E398C">
              <w:t>link between the current account balance and the capital/financial account balance</w:t>
            </w:r>
          </w:p>
          <w:p w14:paraId="60D767F1" w14:textId="236D3B1F" w:rsidR="005D72A8" w:rsidRPr="001E398C" w:rsidRDefault="001343F1" w:rsidP="001E398C">
            <w:pPr>
              <w:pStyle w:val="ListBullet"/>
            </w:pPr>
            <w:r w:rsidRPr="001E398C">
              <w:t xml:space="preserve">the </w:t>
            </w:r>
            <w:r w:rsidR="005D72A8" w:rsidRPr="001E398C">
              <w:t xml:space="preserve">current account balance – the </w:t>
            </w:r>
            <w:r w:rsidR="00A85FFB" w:rsidRPr="001E398C">
              <w:t>goods and services</w:t>
            </w:r>
            <w:r w:rsidR="005D72A8" w:rsidRPr="001E398C">
              <w:t xml:space="preserve"> balance and the income balance</w:t>
            </w:r>
          </w:p>
          <w:p w14:paraId="24E46D1D" w14:textId="62DCE842" w:rsidR="00DB1695" w:rsidRPr="001E398C" w:rsidRDefault="001343F1" w:rsidP="001E398C">
            <w:pPr>
              <w:pStyle w:val="ListBullet"/>
            </w:pPr>
            <w:r w:rsidRPr="001E398C">
              <w:t xml:space="preserve">structural </w:t>
            </w:r>
            <w:r w:rsidR="00837A92" w:rsidRPr="001E398C">
              <w:t>and cyclical r</w:t>
            </w:r>
            <w:r w:rsidR="00DB1695" w:rsidRPr="001E398C">
              <w:t>easons for Australia’s current account deficit</w:t>
            </w:r>
          </w:p>
          <w:p w14:paraId="0280C8A6" w14:textId="5C080BE5" w:rsidR="00DB1695" w:rsidRPr="001E398C" w:rsidRDefault="001343F1" w:rsidP="001E398C">
            <w:pPr>
              <w:pStyle w:val="ListBullet"/>
            </w:pPr>
            <w:r w:rsidRPr="001E398C">
              <w:t xml:space="preserve">the </w:t>
            </w:r>
            <w:r w:rsidR="00DB1695" w:rsidRPr="001E398C">
              <w:t>business cycle and the current account deficit</w:t>
            </w:r>
          </w:p>
          <w:p w14:paraId="30EABF55" w14:textId="77777777" w:rsidR="00837A92" w:rsidRPr="001E398C" w:rsidRDefault="00837A92" w:rsidP="001E398C">
            <w:pPr>
              <w:pStyle w:val="ListBullet"/>
            </w:pPr>
            <w:r w:rsidRPr="001E398C">
              <w:t>Australia’s investment-savings gap and the current account deficit</w:t>
            </w:r>
          </w:p>
          <w:p w14:paraId="2EAC6338" w14:textId="5952569C" w:rsidR="008D125A" w:rsidRPr="001E398C" w:rsidRDefault="001343F1" w:rsidP="001E398C">
            <w:pPr>
              <w:pStyle w:val="ListBullet"/>
            </w:pPr>
            <w:r w:rsidRPr="001E398C">
              <w:t xml:space="preserve">the </w:t>
            </w:r>
            <w:r w:rsidR="008D125A" w:rsidRPr="001E398C">
              <w:t>link between</w:t>
            </w:r>
            <w:r w:rsidR="00947F40" w:rsidRPr="001E398C">
              <w:t xml:space="preserve"> the</w:t>
            </w:r>
            <w:r w:rsidR="008D125A" w:rsidRPr="001E398C">
              <w:t xml:space="preserve"> income balance and the financial account</w:t>
            </w:r>
          </w:p>
          <w:p w14:paraId="224EEC17" w14:textId="323E35F9" w:rsidR="001B055C" w:rsidRPr="001E398C" w:rsidRDefault="001343F1" w:rsidP="001E398C">
            <w:pPr>
              <w:pStyle w:val="ListBullet"/>
            </w:pPr>
            <w:r w:rsidRPr="001E398C">
              <w:t xml:space="preserve">changes </w:t>
            </w:r>
            <w:r w:rsidR="001B055C" w:rsidRPr="001E398C">
              <w:t xml:space="preserve">in Australia’s current account deficit over the past </w:t>
            </w:r>
            <w:r w:rsidR="00837A92" w:rsidRPr="001E398C">
              <w:t>ten</w:t>
            </w:r>
            <w:r w:rsidR="001B055C" w:rsidRPr="001E398C">
              <w:t xml:space="preserve"> years</w:t>
            </w:r>
          </w:p>
          <w:p w14:paraId="1A4CEB44" w14:textId="3EA4AD17" w:rsidR="006A13C0" w:rsidRPr="00B80875" w:rsidRDefault="001343F1" w:rsidP="00A01FF8">
            <w:pPr>
              <w:pStyle w:val="ListBullet"/>
              <w:spacing w:after="0"/>
            </w:pPr>
            <w:r w:rsidRPr="001E398C">
              <w:t xml:space="preserve">the </w:t>
            </w:r>
            <w:r w:rsidR="00837A92" w:rsidRPr="001E398C">
              <w:t>significance of Australia’s current account deficit</w:t>
            </w:r>
          </w:p>
        </w:tc>
      </w:tr>
      <w:tr w:rsidR="006A13C0" w:rsidRPr="00B80875" w14:paraId="2A6D727D" w14:textId="77777777" w:rsidTr="00F65F10">
        <w:trPr>
          <w:trHeight w:val="2835"/>
        </w:trPr>
        <w:tc>
          <w:tcPr>
            <w:tcW w:w="993"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1CBE51C8" w14:textId="0ACAF936" w:rsidR="006A13C0" w:rsidRPr="00B80875" w:rsidRDefault="007C4BF3" w:rsidP="00187CB9">
            <w:pPr>
              <w:jc w:val="center"/>
              <w:rPr>
                <w:rFonts w:asciiTheme="minorHAnsi" w:hAnsiTheme="minorHAnsi"/>
                <w:szCs w:val="20"/>
              </w:rPr>
            </w:pPr>
            <w:r w:rsidRPr="00B80875">
              <w:rPr>
                <w:rFonts w:asciiTheme="minorHAnsi" w:hAnsiTheme="minorHAnsi"/>
                <w:szCs w:val="20"/>
              </w:rPr>
              <w:t>9</w:t>
            </w:r>
          </w:p>
        </w:tc>
        <w:tc>
          <w:tcPr>
            <w:tcW w:w="8363" w:type="dxa"/>
          </w:tcPr>
          <w:p w14:paraId="7AF322E9" w14:textId="5AF090D9" w:rsidR="00C83719" w:rsidRPr="00FC2EC2" w:rsidRDefault="00CF2D2F" w:rsidP="00967EF5">
            <w:pPr>
              <w:pStyle w:val="Tableheadings"/>
            </w:pPr>
            <w:r w:rsidRPr="00FC2EC2">
              <w:t xml:space="preserve">Economic </w:t>
            </w:r>
            <w:r w:rsidR="00350CA0" w:rsidRPr="00FC2EC2">
              <w:t>s</w:t>
            </w:r>
            <w:r w:rsidRPr="00FC2EC2">
              <w:t xml:space="preserve">kills: </w:t>
            </w:r>
            <w:r w:rsidR="00C83719" w:rsidRPr="004B6DBA">
              <w:t>Reasoning, interpretation and analysis</w:t>
            </w:r>
          </w:p>
          <w:p w14:paraId="5C8F4119" w14:textId="77777777" w:rsidR="00C83719" w:rsidRPr="001E398C" w:rsidRDefault="00C83719" w:rsidP="001E398C">
            <w:pPr>
              <w:pStyle w:val="ListBullet"/>
            </w:pPr>
            <w:r w:rsidRPr="001E398C">
              <w:t>identify trends and relationships in economic information and data on Australia’s international trading relationships</w:t>
            </w:r>
          </w:p>
          <w:p w14:paraId="7EC1510B" w14:textId="13FBF829" w:rsidR="00C83719" w:rsidRPr="000B31D2" w:rsidRDefault="00C83719" w:rsidP="001E398C">
            <w:pPr>
              <w:pStyle w:val="ListBullet"/>
            </w:pPr>
            <w:r w:rsidRPr="001E398C">
              <w:t xml:space="preserve">apply mathematical techniques relevant to </w:t>
            </w:r>
            <w:r w:rsidR="000B31D2">
              <w:t xml:space="preserve">international trade, </w:t>
            </w:r>
            <w:commentRangeStart w:id="5"/>
            <w:r w:rsidR="000B31D2">
              <w:t>including</w:t>
            </w:r>
            <w:commentRangeEnd w:id="5"/>
            <w:r w:rsidR="007A46B1">
              <w:rPr>
                <w:rStyle w:val="CommentReference"/>
                <w:rFonts w:ascii="Arial" w:eastAsiaTheme="minorHAnsi" w:hAnsi="Arial"/>
              </w:rPr>
              <w:commentReference w:id="5"/>
            </w:r>
            <w:r w:rsidR="000B31D2">
              <w:t xml:space="preserve"> </w:t>
            </w:r>
            <w:r w:rsidRPr="001E398C">
              <w:t>calculating</w:t>
            </w:r>
            <w:r w:rsidRPr="000B31D2">
              <w:t xml:space="preserve"> </w:t>
            </w:r>
            <w:commentRangeStart w:id="6"/>
            <w:r w:rsidRPr="000B31D2">
              <w:t>the terms of trade index</w:t>
            </w:r>
            <w:commentRangeEnd w:id="6"/>
            <w:r w:rsidR="007A46B1">
              <w:rPr>
                <w:rStyle w:val="CommentReference"/>
                <w:rFonts w:ascii="Arial" w:eastAsiaTheme="minorHAnsi" w:hAnsi="Arial"/>
              </w:rPr>
              <w:commentReference w:id="6"/>
            </w:r>
          </w:p>
          <w:p w14:paraId="594F0197" w14:textId="77777777" w:rsidR="00C83719" w:rsidRPr="001E398C" w:rsidRDefault="00C83719" w:rsidP="001E398C">
            <w:pPr>
              <w:pStyle w:val="ListBullet"/>
            </w:pPr>
            <w:r w:rsidRPr="001E398C">
              <w:t>apply economic reasoning to analyse issues and events in relation to Australia’s international transactions</w:t>
            </w:r>
          </w:p>
          <w:p w14:paraId="4C5431B5" w14:textId="5D09AF55" w:rsidR="006A13C0" w:rsidRPr="00473AF2" w:rsidRDefault="00CF2D2F" w:rsidP="00967EF5">
            <w:pPr>
              <w:pStyle w:val="Tableheadings"/>
            </w:pPr>
            <w:r w:rsidRPr="004F28D3">
              <w:t xml:space="preserve">Economic </w:t>
            </w:r>
            <w:r w:rsidR="003C62D9" w:rsidRPr="004F28D3">
              <w:t>k</w:t>
            </w:r>
            <w:r w:rsidRPr="004F28D3">
              <w:t xml:space="preserve">nowledge and </w:t>
            </w:r>
            <w:r w:rsidR="003C62D9" w:rsidRPr="004F28D3">
              <w:t>u</w:t>
            </w:r>
            <w:r w:rsidRPr="004F28D3">
              <w:t>nderstanding</w:t>
            </w:r>
            <w:r w:rsidR="00A24FEA">
              <w:t xml:space="preserve">: </w:t>
            </w:r>
            <w:r w:rsidR="00E3611E" w:rsidRPr="00473AF2">
              <w:t>Terms of trade</w:t>
            </w:r>
          </w:p>
          <w:p w14:paraId="2026BF16" w14:textId="33FA7CF2" w:rsidR="005D72A8" w:rsidRPr="001E398C" w:rsidRDefault="001343F1" w:rsidP="00641251">
            <w:pPr>
              <w:pStyle w:val="ListBullet"/>
            </w:pPr>
            <w:r w:rsidRPr="001E398C">
              <w:t xml:space="preserve">the </w:t>
            </w:r>
            <w:r w:rsidR="005D72A8" w:rsidRPr="001E398C">
              <w:t>concept of the terms of trade</w:t>
            </w:r>
            <w:r>
              <w:t xml:space="preserve"> and </w:t>
            </w:r>
            <w:r w:rsidR="00274092" w:rsidRPr="001E398C">
              <w:t xml:space="preserve">the </w:t>
            </w:r>
            <w:r w:rsidR="00687D46" w:rsidRPr="001E398C">
              <w:t>terms of trade index – export price index and the import price index</w:t>
            </w:r>
          </w:p>
          <w:p w14:paraId="0F000EB6" w14:textId="58934069" w:rsidR="0074508B" w:rsidRPr="001E398C" w:rsidRDefault="001343F1" w:rsidP="001E398C">
            <w:pPr>
              <w:pStyle w:val="ListBullet"/>
            </w:pPr>
            <w:r w:rsidRPr="001E398C">
              <w:t xml:space="preserve">the </w:t>
            </w:r>
            <w:r w:rsidR="00BC5C02" w:rsidRPr="001E398C">
              <w:t xml:space="preserve">factors that affect the terms of trade – including </w:t>
            </w:r>
            <w:r w:rsidR="001611C8" w:rsidRPr="001E398C">
              <w:t>commodity prices, global growth</w:t>
            </w:r>
          </w:p>
          <w:p w14:paraId="0370AE5B" w14:textId="249D1254" w:rsidR="00BC5C02" w:rsidRPr="001E398C" w:rsidRDefault="001343F1" w:rsidP="001E398C">
            <w:pPr>
              <w:pStyle w:val="ListBullet"/>
            </w:pPr>
            <w:r w:rsidRPr="001E398C">
              <w:t xml:space="preserve">changes </w:t>
            </w:r>
            <w:r w:rsidR="00BC5C02" w:rsidRPr="001E398C">
              <w:t xml:space="preserve">in Australia’s terms of trade over the past </w:t>
            </w:r>
            <w:r w:rsidR="00837A92" w:rsidRPr="001E398C">
              <w:t>ten</w:t>
            </w:r>
            <w:r w:rsidR="00BC5C02" w:rsidRPr="001E398C">
              <w:t xml:space="preserve"> years</w:t>
            </w:r>
          </w:p>
          <w:p w14:paraId="47AF1FBF" w14:textId="186C366E" w:rsidR="00837A92" w:rsidRPr="001E398C" w:rsidRDefault="001343F1" w:rsidP="001E398C">
            <w:pPr>
              <w:pStyle w:val="ListBullet"/>
            </w:pPr>
            <w:r w:rsidRPr="001E398C">
              <w:t xml:space="preserve">the </w:t>
            </w:r>
            <w:r w:rsidR="00837A92" w:rsidRPr="001E398C">
              <w:t>significance of changes in the terms of trade</w:t>
            </w:r>
          </w:p>
          <w:p w14:paraId="6FCFC603" w14:textId="24B231EE" w:rsidR="00BC5C02" w:rsidRPr="001E398C" w:rsidRDefault="001343F1" w:rsidP="001E398C">
            <w:pPr>
              <w:pStyle w:val="ListBullet"/>
            </w:pPr>
            <w:r w:rsidRPr="001E398C">
              <w:t xml:space="preserve">effects </w:t>
            </w:r>
            <w:r w:rsidR="00BC5C02" w:rsidRPr="001E398C">
              <w:t>of changes in the terms of trade on the balance of payments</w:t>
            </w:r>
            <w:r w:rsidR="00837A92" w:rsidRPr="001E398C">
              <w:t>, the exchange rate</w:t>
            </w:r>
            <w:r w:rsidR="00BC5C02" w:rsidRPr="001E398C">
              <w:t xml:space="preserve"> and the level of economic activity</w:t>
            </w:r>
          </w:p>
          <w:p w14:paraId="0401895D" w14:textId="4AF4F4B5" w:rsidR="006A13C0" w:rsidRPr="001E398C" w:rsidRDefault="001343F1" w:rsidP="001E398C">
            <w:pPr>
              <w:pStyle w:val="ListBullet"/>
            </w:pPr>
            <w:r w:rsidRPr="001E398C">
              <w:t xml:space="preserve">the </w:t>
            </w:r>
            <w:r w:rsidR="00BC5C02" w:rsidRPr="001E398C">
              <w:t>effect of the terms of trade on national income</w:t>
            </w:r>
          </w:p>
          <w:p w14:paraId="10410BC6" w14:textId="596E1BCF" w:rsidR="00E441B4" w:rsidRPr="004B6DBA" w:rsidRDefault="001343F1" w:rsidP="001E398C">
            <w:pPr>
              <w:pStyle w:val="Tableheadings"/>
            </w:pPr>
            <w:r>
              <w:t xml:space="preserve">Task </w:t>
            </w:r>
            <w:r w:rsidR="00B542EB">
              <w:t>3</w:t>
            </w:r>
            <w:r w:rsidR="00B542EB" w:rsidRPr="002E5C45">
              <w:t xml:space="preserve">: </w:t>
            </w:r>
            <w:r w:rsidR="00B542EB">
              <w:t xml:space="preserve">Data </w:t>
            </w:r>
            <w:r w:rsidR="003C62D9">
              <w:t>i</w:t>
            </w:r>
            <w:r w:rsidR="00B542EB">
              <w:t xml:space="preserve">nterpretation/Short </w:t>
            </w:r>
            <w:r w:rsidR="003C62D9">
              <w:t>a</w:t>
            </w:r>
            <w:r w:rsidR="00B542EB">
              <w:t>nswer</w:t>
            </w:r>
          </w:p>
        </w:tc>
      </w:tr>
      <w:tr w:rsidR="0080508C" w:rsidRPr="00B80875" w14:paraId="72F6E9F2" w14:textId="77777777" w:rsidTr="00F65F10">
        <w:trPr>
          <w:trHeight w:val="2835"/>
        </w:trPr>
        <w:tc>
          <w:tcPr>
            <w:tcW w:w="993" w:type="dxa"/>
            <w:tcBorders>
              <w:top w:val="single" w:sz="4" w:space="0" w:color="FFFFFF" w:themeColor="background1"/>
              <w:bottom w:val="single" w:sz="4" w:space="0" w:color="D7C5E2" w:themeColor="accent4" w:themeTint="99"/>
            </w:tcBorders>
            <w:shd w:val="clear" w:color="auto" w:fill="E4D8EB" w:themeFill="accent4" w:themeFillTint="66"/>
            <w:vAlign w:val="center"/>
            <w:hideMark/>
          </w:tcPr>
          <w:p w14:paraId="43CDEACB" w14:textId="7D39E2BA" w:rsidR="0080508C" w:rsidRPr="00B80875" w:rsidRDefault="007C4BF3" w:rsidP="007C4BF3">
            <w:pPr>
              <w:jc w:val="center"/>
              <w:rPr>
                <w:rFonts w:asciiTheme="minorHAnsi" w:hAnsiTheme="minorHAnsi"/>
                <w:szCs w:val="20"/>
              </w:rPr>
            </w:pPr>
            <w:r w:rsidRPr="00B80875">
              <w:rPr>
                <w:rFonts w:asciiTheme="minorHAnsi" w:hAnsiTheme="minorHAnsi"/>
                <w:szCs w:val="20"/>
              </w:rPr>
              <w:t>10</w:t>
            </w:r>
            <w:r w:rsidR="00163F65" w:rsidRPr="00B80875">
              <w:rPr>
                <w:rFonts w:asciiTheme="minorHAnsi" w:hAnsiTheme="minorHAnsi"/>
                <w:szCs w:val="20"/>
              </w:rPr>
              <w:t>–</w:t>
            </w:r>
            <w:r w:rsidRPr="00B80875">
              <w:rPr>
                <w:rFonts w:asciiTheme="minorHAnsi" w:hAnsiTheme="minorHAnsi"/>
                <w:szCs w:val="20"/>
              </w:rPr>
              <w:t>11</w:t>
            </w:r>
            <w:r w:rsidR="00E3611E" w:rsidRPr="00B80875">
              <w:rPr>
                <w:rFonts w:asciiTheme="minorHAnsi" w:hAnsiTheme="minorHAnsi"/>
                <w:szCs w:val="20"/>
              </w:rPr>
              <w:t xml:space="preserve"> </w:t>
            </w:r>
          </w:p>
        </w:tc>
        <w:tc>
          <w:tcPr>
            <w:tcW w:w="8363" w:type="dxa"/>
          </w:tcPr>
          <w:p w14:paraId="09EDBAE9" w14:textId="2DFD78AD" w:rsidR="00E441B4" w:rsidRPr="004B6DBA" w:rsidRDefault="00E441B4" w:rsidP="00967EF5">
            <w:pPr>
              <w:pStyle w:val="Tableheadings"/>
            </w:pPr>
            <w:r w:rsidRPr="004B6DBA">
              <w:t xml:space="preserve">Economic </w:t>
            </w:r>
            <w:r w:rsidR="003C62D9" w:rsidRPr="004B6DBA">
              <w:t>s</w:t>
            </w:r>
            <w:r w:rsidRPr="004B6DBA">
              <w:t>kills: Reasoning, interpretation and analysis</w:t>
            </w:r>
          </w:p>
          <w:p w14:paraId="20BC8795" w14:textId="77777777" w:rsidR="00E441B4" w:rsidRPr="001E398C" w:rsidRDefault="00E441B4" w:rsidP="001E398C">
            <w:pPr>
              <w:pStyle w:val="ListBullet"/>
            </w:pPr>
            <w:r w:rsidRPr="001E398C">
              <w:t>identify trends and relationships in economic information and data on Australia’s international trading relationships</w:t>
            </w:r>
          </w:p>
          <w:p w14:paraId="7BAA26C2" w14:textId="77777777" w:rsidR="00E441B4" w:rsidRPr="001E398C" w:rsidRDefault="00E441B4" w:rsidP="001E398C">
            <w:pPr>
              <w:pStyle w:val="ListBullet"/>
            </w:pPr>
            <w:r w:rsidRPr="001E398C">
              <w:t>use economic information and data to make predictions on Australia’s international trading relationships</w:t>
            </w:r>
          </w:p>
          <w:p w14:paraId="499DE194" w14:textId="1F9A681D" w:rsidR="00E441B4" w:rsidRPr="000B31D2" w:rsidRDefault="00E441B4" w:rsidP="001E398C">
            <w:pPr>
              <w:pStyle w:val="ListBullet"/>
            </w:pPr>
            <w:r w:rsidRPr="000B31D2">
              <w:t xml:space="preserve">apply mathematical techniques relevant to international trade, </w:t>
            </w:r>
            <w:commentRangeStart w:id="7"/>
            <w:r w:rsidRPr="000B31D2">
              <w:t>includi</w:t>
            </w:r>
            <w:r w:rsidR="000B31D2" w:rsidRPr="000B31D2">
              <w:t>ng</w:t>
            </w:r>
            <w:commentRangeEnd w:id="7"/>
            <w:r w:rsidR="00304E68">
              <w:rPr>
                <w:rStyle w:val="CommentReference"/>
                <w:rFonts w:ascii="Arial" w:eastAsiaTheme="minorHAnsi" w:hAnsi="Arial"/>
              </w:rPr>
              <w:commentReference w:id="7"/>
            </w:r>
            <w:r w:rsidR="000B31D2" w:rsidRPr="000B31D2">
              <w:t xml:space="preserve"> </w:t>
            </w:r>
            <w:commentRangeStart w:id="8"/>
            <w:r w:rsidRPr="000B31D2">
              <w:t>exchange rate calculations</w:t>
            </w:r>
            <w:commentRangeEnd w:id="8"/>
            <w:r w:rsidR="00304E68">
              <w:rPr>
                <w:rStyle w:val="CommentReference"/>
                <w:rFonts w:ascii="Arial" w:eastAsiaTheme="minorHAnsi" w:hAnsi="Arial"/>
              </w:rPr>
              <w:commentReference w:id="8"/>
            </w:r>
          </w:p>
          <w:p w14:paraId="48E3C368" w14:textId="33F7B3AE" w:rsidR="00E441B4" w:rsidRPr="000B31D2" w:rsidRDefault="00E441B4" w:rsidP="001E398C">
            <w:pPr>
              <w:pStyle w:val="ListBullet"/>
            </w:pPr>
            <w:r w:rsidRPr="000B31D2">
              <w:t xml:space="preserve">use microeconomic models to analyse Australia’s international transactions, including </w:t>
            </w:r>
            <w:commentRangeStart w:id="9"/>
            <w:r w:rsidRPr="000B31D2">
              <w:t>the demand and supply model</w:t>
            </w:r>
            <w:commentRangeEnd w:id="9"/>
            <w:r w:rsidR="00304E68">
              <w:rPr>
                <w:rStyle w:val="CommentReference"/>
                <w:rFonts w:ascii="Arial" w:eastAsiaTheme="minorHAnsi" w:hAnsi="Arial"/>
              </w:rPr>
              <w:commentReference w:id="9"/>
            </w:r>
          </w:p>
          <w:p w14:paraId="64CC420C" w14:textId="77777777" w:rsidR="00E441B4" w:rsidRPr="001E398C" w:rsidRDefault="00E441B4" w:rsidP="001E398C">
            <w:pPr>
              <w:pStyle w:val="ListBullet"/>
            </w:pPr>
            <w:r w:rsidRPr="001E398C">
              <w:t>apply economic reasoning to analyse issues and events in relation to Australia’s international transactions</w:t>
            </w:r>
          </w:p>
          <w:p w14:paraId="0B0EBB53" w14:textId="77777777" w:rsidR="00E441B4" w:rsidRPr="001E398C" w:rsidRDefault="00E441B4" w:rsidP="001E398C">
            <w:pPr>
              <w:pStyle w:val="ListBullet"/>
            </w:pPr>
            <w:r w:rsidRPr="001E398C">
              <w:t>use evidence found in economic information and data to justify a conclusion</w:t>
            </w:r>
          </w:p>
          <w:p w14:paraId="4DB54F3A" w14:textId="2196342E" w:rsidR="0080508C" w:rsidRPr="00473AF2" w:rsidRDefault="00CF2D2F" w:rsidP="00967EF5">
            <w:pPr>
              <w:pStyle w:val="Tableheadings"/>
            </w:pPr>
            <w:r w:rsidRPr="004F28D3">
              <w:t xml:space="preserve">Economic </w:t>
            </w:r>
            <w:r w:rsidR="003C62D9" w:rsidRPr="004F28D3">
              <w:t>k</w:t>
            </w:r>
            <w:r w:rsidRPr="004F28D3">
              <w:t xml:space="preserve">nowledge and </w:t>
            </w:r>
            <w:r w:rsidR="003C62D9" w:rsidRPr="004F28D3">
              <w:t>u</w:t>
            </w:r>
            <w:r w:rsidRPr="004F28D3">
              <w:t>nderstanding</w:t>
            </w:r>
            <w:r w:rsidR="00A24FEA">
              <w:t xml:space="preserve">: </w:t>
            </w:r>
            <w:r w:rsidR="00E3611E" w:rsidRPr="00473AF2">
              <w:t>Exchange rates</w:t>
            </w:r>
          </w:p>
          <w:p w14:paraId="3FAD49F9" w14:textId="5CB8184E" w:rsidR="0080508C" w:rsidRPr="00473AF2" w:rsidRDefault="001343F1" w:rsidP="001E398C">
            <w:pPr>
              <w:pStyle w:val="ListBullet"/>
            </w:pPr>
            <w:r w:rsidRPr="00473AF2">
              <w:t xml:space="preserve">the </w:t>
            </w:r>
            <w:r w:rsidR="00783AF4" w:rsidRPr="00473AF2">
              <w:t>concept of an exchange rate</w:t>
            </w:r>
          </w:p>
          <w:p w14:paraId="420ADFEE" w14:textId="76DF0B7D" w:rsidR="00783AF4" w:rsidRPr="00473AF2" w:rsidRDefault="001343F1" w:rsidP="001E398C">
            <w:pPr>
              <w:pStyle w:val="ListBullet"/>
            </w:pPr>
            <w:r w:rsidRPr="00473AF2">
              <w:t xml:space="preserve">the </w:t>
            </w:r>
            <w:r w:rsidR="00783AF4" w:rsidRPr="00473AF2">
              <w:t>foreign exchange market</w:t>
            </w:r>
          </w:p>
          <w:p w14:paraId="6964B269" w14:textId="035889C6" w:rsidR="00783AF4" w:rsidRPr="00CB6753" w:rsidRDefault="001343F1" w:rsidP="001E398C">
            <w:pPr>
              <w:pStyle w:val="ListBullet"/>
            </w:pPr>
            <w:r w:rsidRPr="00473AF2">
              <w:t xml:space="preserve">the </w:t>
            </w:r>
            <w:r w:rsidR="00783AF4" w:rsidRPr="00CB6753">
              <w:t>trade weighted index</w:t>
            </w:r>
          </w:p>
          <w:p w14:paraId="75FBB07E" w14:textId="125BDB59" w:rsidR="0074508B" w:rsidRPr="00CB6753" w:rsidRDefault="00783AF4" w:rsidP="001E398C">
            <w:pPr>
              <w:pStyle w:val="ListBullet"/>
            </w:pPr>
            <w:r w:rsidRPr="00CB6753">
              <w:t>Australia’s free exchange rate – application of the demand/supply model</w:t>
            </w:r>
          </w:p>
          <w:p w14:paraId="5FD03C61" w14:textId="000F3380" w:rsidR="008D125A" w:rsidRPr="00CB6753" w:rsidRDefault="001343F1" w:rsidP="001E398C">
            <w:pPr>
              <w:pStyle w:val="ListBullet"/>
            </w:pPr>
            <w:r w:rsidRPr="00CB6753">
              <w:t xml:space="preserve">factors </w:t>
            </w:r>
            <w:r w:rsidR="00783AF4" w:rsidRPr="00CB6753">
              <w:t>that affect the demand for and supply of Australian dollars</w:t>
            </w:r>
          </w:p>
          <w:p w14:paraId="729F5988" w14:textId="44F8B7C2" w:rsidR="00783AF4" w:rsidRPr="005C2FB1" w:rsidRDefault="001343F1" w:rsidP="001E398C">
            <w:pPr>
              <w:pStyle w:val="ListBullet"/>
            </w:pPr>
            <w:r w:rsidRPr="00CB6753">
              <w:t xml:space="preserve">application </w:t>
            </w:r>
            <w:r w:rsidR="00FE7808" w:rsidRPr="00CB6753">
              <w:t>of the demand/supply model to show m</w:t>
            </w:r>
            <w:r w:rsidR="00783AF4" w:rsidRPr="00DA2143">
              <w:t xml:space="preserve">ovements in the exchange rate – </w:t>
            </w:r>
            <w:r w:rsidR="00FE7808" w:rsidRPr="00DA2143">
              <w:t xml:space="preserve">both </w:t>
            </w:r>
            <w:r w:rsidR="00783AF4" w:rsidRPr="00DA2143">
              <w:t>appreciation and depreciation</w:t>
            </w:r>
          </w:p>
          <w:p w14:paraId="60CFC977" w14:textId="62866021" w:rsidR="00783AF4" w:rsidRPr="005C2FB1" w:rsidRDefault="001343F1" w:rsidP="001E398C">
            <w:pPr>
              <w:pStyle w:val="ListBullet"/>
            </w:pPr>
            <w:r w:rsidRPr="005C2FB1">
              <w:t xml:space="preserve">key </w:t>
            </w:r>
            <w:r w:rsidR="00350539" w:rsidRPr="005C2FB1">
              <w:t>determinants of Australia’s exchange rate – including commodity prices, relative interest rates (interest rate differential), world economic growth</w:t>
            </w:r>
          </w:p>
          <w:p w14:paraId="3BA5C122" w14:textId="6CE71686" w:rsidR="00FE7808" w:rsidRPr="005C2FB1" w:rsidRDefault="001343F1" w:rsidP="001E398C">
            <w:pPr>
              <w:pStyle w:val="ListBullet"/>
            </w:pPr>
            <w:r w:rsidRPr="005C2FB1">
              <w:t xml:space="preserve">the </w:t>
            </w:r>
            <w:r w:rsidR="00FE7808" w:rsidRPr="005C2FB1">
              <w:t>relationship between the balance of payments and the exchange rate</w:t>
            </w:r>
          </w:p>
          <w:p w14:paraId="1107F3F5" w14:textId="5BCA19CF" w:rsidR="00756E66" w:rsidRPr="004B56D4" w:rsidRDefault="001343F1" w:rsidP="001E398C">
            <w:pPr>
              <w:pStyle w:val="ListBullet"/>
            </w:pPr>
            <w:r w:rsidRPr="004B56D4">
              <w:t xml:space="preserve">the </w:t>
            </w:r>
            <w:r w:rsidR="00756E66" w:rsidRPr="004B56D4">
              <w:t>effects of changes in the exchange rate on the economy –</w:t>
            </w:r>
            <w:r w:rsidR="00837A92" w:rsidRPr="004B56D4">
              <w:t xml:space="preserve"> including exports and import</w:t>
            </w:r>
            <w:r w:rsidR="00756E66" w:rsidRPr="004B56D4">
              <w:t xml:space="preserve">s, </w:t>
            </w:r>
            <w:r w:rsidR="00D62472" w:rsidRPr="004B56D4">
              <w:t xml:space="preserve">mining and manufacturing sectors, tourism, </w:t>
            </w:r>
            <w:r w:rsidR="00756E66" w:rsidRPr="004B56D4">
              <w:t>aggregate demand, inflation</w:t>
            </w:r>
          </w:p>
          <w:p w14:paraId="53AEC636" w14:textId="39161B7A" w:rsidR="00E441B4" w:rsidRPr="00E0071D" w:rsidRDefault="001343F1" w:rsidP="004F048B">
            <w:pPr>
              <w:pStyle w:val="ListBullet"/>
              <w:spacing w:after="0"/>
            </w:pPr>
            <w:r w:rsidRPr="004B56D4">
              <w:t xml:space="preserve">changes </w:t>
            </w:r>
            <w:r w:rsidR="00350539" w:rsidRPr="004B56D4">
              <w:t xml:space="preserve">in Australia’s exchange rate over the past </w:t>
            </w:r>
            <w:r w:rsidR="00837A92" w:rsidRPr="004B56D4">
              <w:t>ten</w:t>
            </w:r>
            <w:r w:rsidR="00350539" w:rsidRPr="004B56D4">
              <w:t xml:space="preserve"> years</w:t>
            </w:r>
          </w:p>
        </w:tc>
      </w:tr>
      <w:tr w:rsidR="006A13C0" w:rsidRPr="00B80875" w14:paraId="4D0DF7A1" w14:textId="77777777" w:rsidTr="00F65F10">
        <w:trPr>
          <w:trHeight w:val="567"/>
        </w:trPr>
        <w:tc>
          <w:tcPr>
            <w:tcW w:w="993" w:type="dxa"/>
            <w:tcBorders>
              <w:top w:val="single" w:sz="4" w:space="0" w:color="FFFFFF" w:themeColor="background1"/>
              <w:bottom w:val="single" w:sz="4" w:space="0" w:color="FFFFFF" w:themeColor="background1"/>
            </w:tcBorders>
            <w:shd w:val="clear" w:color="auto" w:fill="E4D8EB" w:themeFill="accent4" w:themeFillTint="66"/>
            <w:vAlign w:val="center"/>
          </w:tcPr>
          <w:p w14:paraId="0579CB13" w14:textId="480D6B56" w:rsidR="006A13C0" w:rsidRPr="00B80875" w:rsidRDefault="00163F65" w:rsidP="007C4BF3">
            <w:pPr>
              <w:jc w:val="center"/>
              <w:rPr>
                <w:rFonts w:asciiTheme="minorHAnsi" w:hAnsiTheme="minorHAnsi"/>
                <w:szCs w:val="20"/>
              </w:rPr>
            </w:pPr>
            <w:r w:rsidRPr="00B80875">
              <w:rPr>
                <w:rFonts w:asciiTheme="minorHAnsi" w:hAnsiTheme="minorHAnsi"/>
                <w:szCs w:val="20"/>
              </w:rPr>
              <w:t>12–</w:t>
            </w:r>
            <w:r w:rsidR="007C4BF3" w:rsidRPr="00B80875">
              <w:rPr>
                <w:rFonts w:asciiTheme="minorHAnsi" w:hAnsiTheme="minorHAnsi"/>
                <w:szCs w:val="20"/>
              </w:rPr>
              <w:t xml:space="preserve">13 </w:t>
            </w:r>
          </w:p>
        </w:tc>
        <w:tc>
          <w:tcPr>
            <w:tcW w:w="8363" w:type="dxa"/>
          </w:tcPr>
          <w:p w14:paraId="50585EDB" w14:textId="3C160D87" w:rsidR="00FC412A" w:rsidRPr="004B6DBA" w:rsidRDefault="001343F1" w:rsidP="00967EF5">
            <w:pPr>
              <w:pStyle w:val="Tableheadings"/>
            </w:pPr>
            <w:r w:rsidRPr="002E5C45">
              <w:t xml:space="preserve">Task </w:t>
            </w:r>
            <w:r w:rsidR="00FC412A" w:rsidRPr="002E5C45">
              <w:t xml:space="preserve">4: </w:t>
            </w:r>
            <w:r w:rsidR="00B542EB">
              <w:t xml:space="preserve">Extended </w:t>
            </w:r>
            <w:r w:rsidR="003C62D9">
              <w:t>a</w:t>
            </w:r>
            <w:r w:rsidR="00B542EB">
              <w:t>nswer</w:t>
            </w:r>
          </w:p>
          <w:p w14:paraId="39F4F64A" w14:textId="6D7F46E7" w:rsidR="00E441B4" w:rsidRPr="004B6DBA" w:rsidRDefault="00E441B4" w:rsidP="00967EF5">
            <w:pPr>
              <w:pStyle w:val="Tableheadings"/>
            </w:pPr>
            <w:r w:rsidRPr="004B6DBA">
              <w:t xml:space="preserve">Economic </w:t>
            </w:r>
            <w:r w:rsidR="003C62D9" w:rsidRPr="004B6DBA">
              <w:t>s</w:t>
            </w:r>
            <w:r w:rsidRPr="004B6DBA">
              <w:t>kills: Reasoning, interpretation and analysis</w:t>
            </w:r>
          </w:p>
          <w:p w14:paraId="05994EBA" w14:textId="77777777" w:rsidR="00E441B4" w:rsidRPr="001E398C" w:rsidRDefault="00E441B4" w:rsidP="001E398C">
            <w:pPr>
              <w:pStyle w:val="ListBullet"/>
            </w:pPr>
            <w:r w:rsidRPr="001E398C">
              <w:t>identify and organise relevant information within sources</w:t>
            </w:r>
          </w:p>
          <w:p w14:paraId="656DE0E0" w14:textId="77777777" w:rsidR="00E441B4" w:rsidRPr="001E398C" w:rsidRDefault="00E441B4" w:rsidP="001E398C">
            <w:pPr>
              <w:pStyle w:val="ListBullet"/>
            </w:pPr>
            <w:r w:rsidRPr="001E398C">
              <w:t>identify trends and relationships in economic information and data on Australia’s international trading relationships</w:t>
            </w:r>
          </w:p>
          <w:p w14:paraId="4358F121" w14:textId="77777777" w:rsidR="00E441B4" w:rsidRPr="001E398C" w:rsidRDefault="00E441B4" w:rsidP="001E398C">
            <w:pPr>
              <w:pStyle w:val="ListBullet"/>
            </w:pPr>
            <w:r w:rsidRPr="001E398C">
              <w:t>use economic information and data to make predictions on Australia’s international trading relationships</w:t>
            </w:r>
          </w:p>
          <w:p w14:paraId="6ACDB5B4" w14:textId="7C55321E" w:rsidR="00E441B4" w:rsidRPr="004B6DBA" w:rsidRDefault="00CD2F8E" w:rsidP="00967EF5">
            <w:pPr>
              <w:pStyle w:val="Tableheadings"/>
            </w:pPr>
            <w:r w:rsidRPr="004B6DBA">
              <w:t xml:space="preserve">Economic </w:t>
            </w:r>
            <w:r w:rsidR="007D27C3" w:rsidRPr="004B6DBA">
              <w:t>s</w:t>
            </w:r>
            <w:r w:rsidRPr="004B6DBA">
              <w:t xml:space="preserve">kills: </w:t>
            </w:r>
            <w:r w:rsidR="00E441B4" w:rsidRPr="004B6DBA">
              <w:t>Communication</w:t>
            </w:r>
          </w:p>
          <w:p w14:paraId="70C09ABF" w14:textId="77777777" w:rsidR="00E441B4" w:rsidRPr="001E398C" w:rsidRDefault="00E441B4" w:rsidP="001E398C">
            <w:pPr>
              <w:pStyle w:val="ListBullet"/>
            </w:pPr>
            <w:r w:rsidRPr="001E398C">
              <w:t>select and use appropriate terminology</w:t>
            </w:r>
          </w:p>
          <w:p w14:paraId="27FD8201" w14:textId="77777777" w:rsidR="00E441B4" w:rsidRPr="001E398C" w:rsidRDefault="00E441B4" w:rsidP="001E398C">
            <w:pPr>
              <w:pStyle w:val="ListBullet"/>
            </w:pPr>
            <w:r w:rsidRPr="001E398C">
              <w:t>select and use appropriate formats when communicating economic understandings</w:t>
            </w:r>
          </w:p>
          <w:p w14:paraId="43713A81" w14:textId="77777777" w:rsidR="00E441B4" w:rsidRPr="001E398C" w:rsidRDefault="00E441B4" w:rsidP="001E398C">
            <w:pPr>
              <w:pStyle w:val="ListBullet"/>
            </w:pPr>
            <w:r w:rsidRPr="001E398C">
              <w:t>use economic models to convey economic theory and reasoning about Australia’s international transactions</w:t>
            </w:r>
          </w:p>
          <w:p w14:paraId="2C704995" w14:textId="426B7526" w:rsidR="006A13C0" w:rsidRPr="00473AF2" w:rsidRDefault="00CF2D2F" w:rsidP="00967EF5">
            <w:pPr>
              <w:pStyle w:val="Tableheadings"/>
            </w:pPr>
            <w:r w:rsidRPr="004F28D3">
              <w:t xml:space="preserve">Economic </w:t>
            </w:r>
            <w:r w:rsidR="007D27C3" w:rsidRPr="004F28D3">
              <w:t>k</w:t>
            </w:r>
            <w:r w:rsidRPr="004F28D3">
              <w:t xml:space="preserve">nowledge and </w:t>
            </w:r>
            <w:r w:rsidR="007D27C3" w:rsidRPr="004F28D3">
              <w:t>u</w:t>
            </w:r>
            <w:r w:rsidRPr="004F28D3">
              <w:t>nderstanding</w:t>
            </w:r>
            <w:r w:rsidR="00A24FEA">
              <w:t xml:space="preserve">: </w:t>
            </w:r>
            <w:r w:rsidR="007C4BF3" w:rsidRPr="00473AF2">
              <w:t>Foreign investment</w:t>
            </w:r>
          </w:p>
          <w:p w14:paraId="6AC39D03" w14:textId="4F084DA6" w:rsidR="006A13C0" w:rsidRPr="00473AF2" w:rsidRDefault="001343F1" w:rsidP="001E398C">
            <w:pPr>
              <w:pStyle w:val="ListBullet"/>
            </w:pPr>
            <w:r w:rsidRPr="00473AF2">
              <w:t xml:space="preserve">the </w:t>
            </w:r>
            <w:r w:rsidR="000F1662" w:rsidRPr="00473AF2">
              <w:t>concept of foreign investment</w:t>
            </w:r>
          </w:p>
          <w:p w14:paraId="61440993" w14:textId="60564BB9" w:rsidR="00FE7808" w:rsidRPr="00473AF2" w:rsidRDefault="001343F1" w:rsidP="001E398C">
            <w:pPr>
              <w:pStyle w:val="ListBullet"/>
            </w:pPr>
            <w:r w:rsidRPr="00473AF2">
              <w:t xml:space="preserve">the </w:t>
            </w:r>
            <w:r w:rsidR="00FE7808" w:rsidRPr="00473AF2">
              <w:t>distinction between foreign investment into Australia and Australian investment abroad</w:t>
            </w:r>
          </w:p>
          <w:p w14:paraId="73617D77" w14:textId="57E8A15F" w:rsidR="000F1662" w:rsidRPr="00CB6753" w:rsidRDefault="001343F1" w:rsidP="001E398C">
            <w:pPr>
              <w:pStyle w:val="ListBullet"/>
            </w:pPr>
            <w:r w:rsidRPr="00473AF2">
              <w:t xml:space="preserve">the </w:t>
            </w:r>
            <w:r w:rsidR="000F1662" w:rsidRPr="00473AF2">
              <w:t>distinction between foreign assets and foreign liabilities</w:t>
            </w:r>
          </w:p>
          <w:p w14:paraId="45F81844" w14:textId="3DC75956" w:rsidR="00024355" w:rsidRPr="00CB6753" w:rsidRDefault="001343F1" w:rsidP="001E398C">
            <w:pPr>
              <w:pStyle w:val="ListBullet"/>
            </w:pPr>
            <w:r w:rsidRPr="00CB6753">
              <w:t xml:space="preserve">the </w:t>
            </w:r>
            <w:r w:rsidR="00024355" w:rsidRPr="00CB6753">
              <w:t>distinction between foreign direct and foreign portfolio investment</w:t>
            </w:r>
          </w:p>
          <w:p w14:paraId="1C1F8A91" w14:textId="181107D3" w:rsidR="00FE7808" w:rsidRPr="00CB6753" w:rsidRDefault="001343F1" w:rsidP="001E398C">
            <w:pPr>
              <w:pStyle w:val="ListBullet"/>
            </w:pPr>
            <w:r w:rsidRPr="00CB6753">
              <w:t xml:space="preserve">the </w:t>
            </w:r>
            <w:r w:rsidR="00FE7808" w:rsidRPr="00CB6753">
              <w:t>link between foreign investment and the balance of payments</w:t>
            </w:r>
          </w:p>
          <w:p w14:paraId="1744FE6F" w14:textId="6EB32DC7" w:rsidR="000F1662" w:rsidRPr="00DA2143" w:rsidRDefault="001343F1" w:rsidP="001E398C">
            <w:pPr>
              <w:pStyle w:val="ListBullet"/>
            </w:pPr>
            <w:r w:rsidRPr="00CB6753">
              <w:t xml:space="preserve">the </w:t>
            </w:r>
            <w:r w:rsidR="00685E40" w:rsidRPr="00CB6753">
              <w:t xml:space="preserve">types of foreign liabilities – </w:t>
            </w:r>
            <w:r w:rsidR="00685E40" w:rsidRPr="00DA2143">
              <w:t>foreign debt and foreign equity</w:t>
            </w:r>
          </w:p>
          <w:p w14:paraId="4B233E8F" w14:textId="009269BD" w:rsidR="00685E40" w:rsidRPr="005C2FB1" w:rsidRDefault="001343F1" w:rsidP="001E398C">
            <w:pPr>
              <w:pStyle w:val="ListBullet"/>
            </w:pPr>
            <w:r w:rsidRPr="00DA2143">
              <w:t xml:space="preserve">the </w:t>
            </w:r>
            <w:r w:rsidR="00685E40" w:rsidRPr="00DA2143">
              <w:t>types of income payments associated with foreign liabilities</w:t>
            </w:r>
          </w:p>
          <w:p w14:paraId="629AA74E" w14:textId="6B6A0E19" w:rsidR="00685E40" w:rsidRPr="005C2FB1" w:rsidRDefault="001343F1" w:rsidP="001E398C">
            <w:pPr>
              <w:pStyle w:val="ListBullet"/>
            </w:pPr>
            <w:r w:rsidRPr="005C2FB1">
              <w:t xml:space="preserve">the </w:t>
            </w:r>
            <w:r w:rsidR="00685E40" w:rsidRPr="005C2FB1">
              <w:t>link between foreign liabilities and the current account</w:t>
            </w:r>
          </w:p>
          <w:p w14:paraId="30407E71" w14:textId="3BCA537C" w:rsidR="00472831" w:rsidRPr="004B56D4" w:rsidRDefault="001343F1" w:rsidP="00700E02">
            <w:pPr>
              <w:pStyle w:val="ListBullet"/>
            </w:pPr>
            <w:r w:rsidRPr="005C2FB1">
              <w:t xml:space="preserve">changes </w:t>
            </w:r>
            <w:r w:rsidR="00024355" w:rsidRPr="005C2FB1">
              <w:t xml:space="preserve">in </w:t>
            </w:r>
            <w:r w:rsidR="009954E1" w:rsidRPr="005C2FB1">
              <w:t xml:space="preserve">Australia’s foreign direct investment </w:t>
            </w:r>
            <w:r>
              <w:t xml:space="preserve">and </w:t>
            </w:r>
            <w:r w:rsidR="00472831" w:rsidRPr="004B56D4">
              <w:t>in Australia’s foreign debt over the past ten years</w:t>
            </w:r>
          </w:p>
          <w:p w14:paraId="66CBB736" w14:textId="79797DE9" w:rsidR="00472831" w:rsidRPr="004B56D4" w:rsidRDefault="001343F1" w:rsidP="001E398C">
            <w:pPr>
              <w:pStyle w:val="ListBullet"/>
            </w:pPr>
            <w:r w:rsidRPr="004B56D4">
              <w:t xml:space="preserve">the </w:t>
            </w:r>
            <w:r w:rsidR="00472831" w:rsidRPr="004B56D4">
              <w:t>benefits and costs of Australia’s foreign direct investment</w:t>
            </w:r>
          </w:p>
          <w:p w14:paraId="6D6B6BA8" w14:textId="6AF65C05" w:rsidR="006A13C0" w:rsidRPr="004B56D4" w:rsidRDefault="001343F1" w:rsidP="00F65F10">
            <w:pPr>
              <w:pStyle w:val="ListBullet"/>
              <w:spacing w:after="0"/>
            </w:pPr>
            <w:r w:rsidRPr="004B56D4">
              <w:t xml:space="preserve">the </w:t>
            </w:r>
            <w:r w:rsidR="00472831" w:rsidRPr="004B56D4">
              <w:t>benefits and costs of Australia’s foreign debt</w:t>
            </w:r>
          </w:p>
        </w:tc>
      </w:tr>
      <w:tr w:rsidR="006A13C0" w:rsidRPr="00B80875" w14:paraId="2B7C3103" w14:textId="77777777" w:rsidTr="00E0071D">
        <w:tc>
          <w:tcPr>
            <w:tcW w:w="993" w:type="dxa"/>
            <w:tcBorders>
              <w:top w:val="single" w:sz="4" w:space="0" w:color="FFFFFF" w:themeColor="background1"/>
              <w:bottom w:val="single" w:sz="4" w:space="0" w:color="FFFFFF" w:themeColor="background1"/>
            </w:tcBorders>
            <w:shd w:val="clear" w:color="auto" w:fill="E4D8EB" w:themeFill="accent4" w:themeFillTint="66"/>
            <w:vAlign w:val="center"/>
          </w:tcPr>
          <w:p w14:paraId="2BE1AF09" w14:textId="3D43BA62" w:rsidR="006A13C0" w:rsidRPr="00B80875" w:rsidRDefault="007C4BF3" w:rsidP="001E398C">
            <w:pPr>
              <w:spacing w:line="276" w:lineRule="auto"/>
              <w:jc w:val="center"/>
              <w:rPr>
                <w:rFonts w:asciiTheme="minorHAnsi" w:hAnsiTheme="minorHAnsi"/>
                <w:szCs w:val="20"/>
              </w:rPr>
            </w:pPr>
            <w:r w:rsidRPr="00B80875">
              <w:rPr>
                <w:rFonts w:asciiTheme="minorHAnsi" w:hAnsiTheme="minorHAnsi"/>
                <w:szCs w:val="20"/>
              </w:rPr>
              <w:t>14</w:t>
            </w:r>
          </w:p>
        </w:tc>
        <w:tc>
          <w:tcPr>
            <w:tcW w:w="8363" w:type="dxa"/>
          </w:tcPr>
          <w:p w14:paraId="0C04B40E" w14:textId="70F38614" w:rsidR="00FB22C1" w:rsidRPr="00B80875" w:rsidRDefault="00EC473D" w:rsidP="001E398C">
            <w:pPr>
              <w:spacing w:line="276" w:lineRule="auto"/>
              <w:rPr>
                <w:rFonts w:asciiTheme="minorHAnsi" w:hAnsiTheme="minorHAnsi"/>
                <w:szCs w:val="20"/>
              </w:rPr>
            </w:pPr>
            <w:r>
              <w:rPr>
                <w:rFonts w:asciiTheme="minorHAnsi" w:hAnsiTheme="minorHAnsi"/>
                <w:szCs w:val="20"/>
              </w:rPr>
              <w:t xml:space="preserve">Exam </w:t>
            </w:r>
            <w:r w:rsidR="007C4BF3" w:rsidRPr="00B80875">
              <w:rPr>
                <w:rFonts w:asciiTheme="minorHAnsi" w:hAnsiTheme="minorHAnsi"/>
                <w:szCs w:val="20"/>
              </w:rPr>
              <w:t>Revision</w:t>
            </w:r>
          </w:p>
        </w:tc>
      </w:tr>
      <w:tr w:rsidR="007C4BF3" w:rsidRPr="00B80875" w14:paraId="2E5A684D" w14:textId="77777777" w:rsidTr="00E0071D">
        <w:tc>
          <w:tcPr>
            <w:tcW w:w="993" w:type="dxa"/>
            <w:tcBorders>
              <w:top w:val="single" w:sz="4" w:space="0" w:color="FFFFFF" w:themeColor="background1"/>
            </w:tcBorders>
            <w:shd w:val="clear" w:color="auto" w:fill="E4D8EB" w:themeFill="accent4" w:themeFillTint="66"/>
            <w:vAlign w:val="center"/>
          </w:tcPr>
          <w:p w14:paraId="0A4355FD" w14:textId="5D601F26" w:rsidR="007C4BF3" w:rsidRPr="00B80875" w:rsidRDefault="007C4BF3" w:rsidP="0047621D">
            <w:pPr>
              <w:jc w:val="center"/>
              <w:rPr>
                <w:rFonts w:asciiTheme="minorHAnsi" w:hAnsiTheme="minorHAnsi"/>
                <w:szCs w:val="20"/>
              </w:rPr>
            </w:pPr>
            <w:r w:rsidRPr="00B80875">
              <w:rPr>
                <w:rFonts w:asciiTheme="minorHAnsi" w:hAnsiTheme="minorHAnsi"/>
                <w:szCs w:val="20"/>
              </w:rPr>
              <w:t xml:space="preserve">15 </w:t>
            </w:r>
          </w:p>
        </w:tc>
        <w:tc>
          <w:tcPr>
            <w:tcW w:w="8363" w:type="dxa"/>
          </w:tcPr>
          <w:p w14:paraId="54467745" w14:textId="7676D3F3" w:rsidR="00FB22C1" w:rsidRPr="00FC2EC2" w:rsidRDefault="007D27C3" w:rsidP="00967EF5">
            <w:pPr>
              <w:pStyle w:val="Tableheadings"/>
            </w:pPr>
            <w:r w:rsidRPr="00FC2EC2">
              <w:t xml:space="preserve">Task </w:t>
            </w:r>
            <w:r w:rsidR="00CF2D2F" w:rsidRPr="00FC2EC2">
              <w:t xml:space="preserve">5: </w:t>
            </w:r>
            <w:r w:rsidR="007C4BF3" w:rsidRPr="00FC2EC2">
              <w:t xml:space="preserve">Semester 1 </w:t>
            </w:r>
            <w:r w:rsidR="00BB4229" w:rsidRPr="00FC2EC2">
              <w:t>E</w:t>
            </w:r>
            <w:r w:rsidR="007C4BF3" w:rsidRPr="00FC2EC2">
              <w:t>xamination</w:t>
            </w:r>
          </w:p>
        </w:tc>
      </w:tr>
    </w:tbl>
    <w:p w14:paraId="10048FA2" w14:textId="77777777" w:rsidR="006A13C0" w:rsidRDefault="006A13C0" w:rsidP="006A13C0">
      <w:pPr>
        <w:spacing w:after="200" w:line="276" w:lineRule="auto"/>
        <w:rPr>
          <w:rFonts w:ascii="Franklin Gothic Book" w:eastAsia="MS Mincho" w:hAnsi="Franklin Gothic Book" w:cs="Calibri"/>
          <w:color w:val="404040" w:themeColor="text1" w:themeTint="BF"/>
          <w:lang w:val="en-GB" w:eastAsia="ja-JP"/>
        </w:rPr>
      </w:pPr>
      <w:r>
        <w:br w:type="page"/>
      </w:r>
    </w:p>
    <w:p w14:paraId="1A06F07A" w14:textId="77777777" w:rsidR="006A13C0" w:rsidRPr="003E02A9" w:rsidRDefault="006A13C0" w:rsidP="007E49B9">
      <w:pPr>
        <w:pStyle w:val="Heading4"/>
        <w:spacing w:before="240" w:after="120"/>
        <w:rPr>
          <w:color w:val="auto"/>
        </w:rPr>
      </w:pPr>
      <w:r w:rsidRPr="003E02A9">
        <w:rPr>
          <w:color w:val="auto"/>
        </w:rPr>
        <w:t xml:space="preserve">Semester 2 – </w:t>
      </w:r>
      <w:r w:rsidR="003E2512">
        <w:rPr>
          <w:color w:val="auto"/>
        </w:rPr>
        <w:t xml:space="preserve">Unit </w:t>
      </w:r>
      <w:r w:rsidR="00F14346">
        <w:rPr>
          <w:color w:val="auto"/>
        </w:rPr>
        <w:t>4</w:t>
      </w:r>
      <w:r w:rsidR="003E2512">
        <w:rPr>
          <w:color w:val="auto"/>
        </w:rPr>
        <w:t xml:space="preserve"> – </w:t>
      </w:r>
      <w:r w:rsidR="00F14346">
        <w:rPr>
          <w:color w:val="auto"/>
        </w:rPr>
        <w:t>Economics policies and management</w:t>
      </w:r>
    </w:p>
    <w:tbl>
      <w:tblPr>
        <w:tblStyle w:val="TableGrid"/>
        <w:tblW w:w="9322"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0"/>
        <w:gridCol w:w="983"/>
        <w:gridCol w:w="10"/>
        <w:gridCol w:w="8309"/>
        <w:gridCol w:w="10"/>
      </w:tblGrid>
      <w:tr w:rsidR="006A13C0" w:rsidRPr="00B80875" w14:paraId="587AA6C1" w14:textId="77777777" w:rsidTr="0017217F">
        <w:trPr>
          <w:gridBefore w:val="1"/>
          <w:wBefore w:w="10" w:type="dxa"/>
          <w:tblHeader/>
        </w:trPr>
        <w:tc>
          <w:tcPr>
            <w:tcW w:w="993" w:type="dxa"/>
            <w:gridSpan w:val="2"/>
            <w:tcBorders>
              <w:bottom w:val="single" w:sz="4" w:space="0" w:color="FFFFFF" w:themeColor="background1"/>
              <w:right w:val="single" w:sz="4" w:space="0" w:color="FFFFFF" w:themeColor="background1"/>
            </w:tcBorders>
            <w:shd w:val="clear" w:color="auto" w:fill="BD9FCF" w:themeFill="accent4"/>
            <w:vAlign w:val="center"/>
            <w:hideMark/>
          </w:tcPr>
          <w:p w14:paraId="17443BC2" w14:textId="77777777" w:rsidR="006A13C0" w:rsidRPr="00B80875" w:rsidRDefault="006A13C0" w:rsidP="0047621D">
            <w:pPr>
              <w:spacing w:before="120" w:after="120"/>
              <w:jc w:val="center"/>
              <w:rPr>
                <w:rFonts w:asciiTheme="minorHAnsi" w:hAnsiTheme="minorHAnsi"/>
                <w:b/>
                <w:color w:val="FFFFFF" w:themeColor="background1"/>
                <w:szCs w:val="20"/>
              </w:rPr>
            </w:pPr>
            <w:r w:rsidRPr="00B80875">
              <w:rPr>
                <w:rFonts w:asciiTheme="minorHAnsi" w:hAnsiTheme="minorHAnsi"/>
                <w:b/>
                <w:color w:val="FFFFFF" w:themeColor="background1"/>
                <w:szCs w:val="20"/>
              </w:rPr>
              <w:t>Week</w:t>
            </w:r>
          </w:p>
        </w:tc>
        <w:tc>
          <w:tcPr>
            <w:tcW w:w="8319" w:type="dxa"/>
            <w:gridSpan w:val="2"/>
            <w:tcBorders>
              <w:left w:val="single" w:sz="4" w:space="0" w:color="FFFFFF" w:themeColor="background1"/>
              <w:bottom w:val="single" w:sz="4" w:space="0" w:color="D7C5E2" w:themeColor="accent4" w:themeTint="99"/>
              <w:right w:val="nil"/>
            </w:tcBorders>
            <w:shd w:val="clear" w:color="auto" w:fill="BD9FCF" w:themeFill="accent4"/>
            <w:vAlign w:val="center"/>
            <w:hideMark/>
          </w:tcPr>
          <w:p w14:paraId="2FB5473C" w14:textId="77777777" w:rsidR="006A13C0" w:rsidRPr="00B80875" w:rsidRDefault="006A13C0" w:rsidP="0047621D">
            <w:pPr>
              <w:spacing w:before="120" w:after="120"/>
              <w:jc w:val="center"/>
              <w:rPr>
                <w:rFonts w:asciiTheme="minorHAnsi" w:hAnsiTheme="minorHAnsi"/>
                <w:b/>
                <w:color w:val="FFFFFF" w:themeColor="background1"/>
                <w:szCs w:val="20"/>
              </w:rPr>
            </w:pPr>
            <w:r w:rsidRPr="00B80875">
              <w:rPr>
                <w:rFonts w:asciiTheme="minorHAnsi" w:hAnsiTheme="minorHAnsi"/>
                <w:b/>
                <w:color w:val="FFFFFF" w:themeColor="background1"/>
                <w:szCs w:val="20"/>
              </w:rPr>
              <w:t>Key teaching points</w:t>
            </w:r>
          </w:p>
        </w:tc>
      </w:tr>
      <w:tr w:rsidR="006A13C0" w:rsidRPr="00B80875" w14:paraId="4815A2A9" w14:textId="77777777" w:rsidTr="0017217F">
        <w:trPr>
          <w:gridBefore w:val="1"/>
          <w:wBefore w:w="10" w:type="dxa"/>
        </w:trPr>
        <w:tc>
          <w:tcPr>
            <w:tcW w:w="993" w:type="dxa"/>
            <w:gridSpan w:val="2"/>
            <w:tcBorders>
              <w:top w:val="single" w:sz="4" w:space="0" w:color="FFFFFF" w:themeColor="background1"/>
              <w:bottom w:val="single" w:sz="4" w:space="0" w:color="FFFFFF" w:themeColor="background1"/>
            </w:tcBorders>
            <w:shd w:val="clear" w:color="auto" w:fill="E4D8EB" w:themeFill="accent4" w:themeFillTint="66"/>
            <w:vAlign w:val="center"/>
            <w:hideMark/>
          </w:tcPr>
          <w:p w14:paraId="745C31C5" w14:textId="0E59280D" w:rsidR="006A13C0" w:rsidRPr="00B80875" w:rsidRDefault="004E6FF9" w:rsidP="0047621D">
            <w:pPr>
              <w:jc w:val="center"/>
              <w:rPr>
                <w:rFonts w:asciiTheme="minorHAnsi" w:hAnsiTheme="minorHAnsi"/>
                <w:szCs w:val="20"/>
              </w:rPr>
            </w:pPr>
            <w:r w:rsidRPr="00B80875">
              <w:rPr>
                <w:rFonts w:asciiTheme="minorHAnsi" w:hAnsiTheme="minorHAnsi"/>
                <w:szCs w:val="20"/>
              </w:rPr>
              <w:t>1</w:t>
            </w:r>
          </w:p>
        </w:tc>
        <w:tc>
          <w:tcPr>
            <w:tcW w:w="8319" w:type="dxa"/>
            <w:gridSpan w:val="2"/>
            <w:tcBorders>
              <w:right w:val="single" w:sz="4" w:space="0" w:color="D7C5E2" w:themeColor="accent4" w:themeTint="99"/>
            </w:tcBorders>
          </w:tcPr>
          <w:p w14:paraId="3F1BC833" w14:textId="30DB1E4B" w:rsidR="004F28D3" w:rsidRPr="00FC2EC2" w:rsidRDefault="004F28D3" w:rsidP="00967EF5">
            <w:pPr>
              <w:pStyle w:val="Tableheadings"/>
            </w:pPr>
            <w:r w:rsidRPr="004F28D3">
              <w:t>Econom</w:t>
            </w:r>
            <w:r w:rsidR="00CB6753">
              <w:t xml:space="preserve">ic </w:t>
            </w:r>
            <w:r w:rsidR="007D27C3">
              <w:t>s</w:t>
            </w:r>
            <w:r w:rsidR="00CB6753">
              <w:t xml:space="preserve">kills: </w:t>
            </w:r>
            <w:r w:rsidRPr="00FC2EC2">
              <w:rPr>
                <w:rFonts w:eastAsiaTheme="minorEastAsia"/>
              </w:rPr>
              <w:t>Reasoning, interpretation and analysis</w:t>
            </w:r>
          </w:p>
          <w:p w14:paraId="27DC1F2D" w14:textId="77777777" w:rsidR="004F28D3" w:rsidRPr="00FC2EC2" w:rsidRDefault="004F28D3" w:rsidP="00A203A6">
            <w:pPr>
              <w:pStyle w:val="ListBullet"/>
              <w:numPr>
                <w:ilvl w:val="0"/>
                <w:numId w:val="23"/>
              </w:numPr>
            </w:pPr>
            <w:r w:rsidRPr="00FC2EC2">
              <w:t>identify and organise relevant information within sources</w:t>
            </w:r>
          </w:p>
          <w:p w14:paraId="42A4D93D" w14:textId="77777777" w:rsidR="004F28D3" w:rsidRPr="00FC2EC2" w:rsidRDefault="004F28D3" w:rsidP="00A203A6">
            <w:pPr>
              <w:pStyle w:val="ListBullet"/>
              <w:numPr>
                <w:ilvl w:val="0"/>
                <w:numId w:val="23"/>
              </w:numPr>
            </w:pPr>
            <w:r w:rsidRPr="00FC2EC2">
              <w:t>identify trends and relationships in economic information and data regarding Australia’s economic policy and management</w:t>
            </w:r>
          </w:p>
          <w:p w14:paraId="37E43901" w14:textId="77777777" w:rsidR="00CD2F8E" w:rsidRDefault="004F28D3" w:rsidP="00A203A6">
            <w:pPr>
              <w:pStyle w:val="ListBullet"/>
              <w:numPr>
                <w:ilvl w:val="0"/>
                <w:numId w:val="23"/>
              </w:numPr>
            </w:pPr>
            <w:r w:rsidRPr="00FC2EC2">
              <w:t>use economic information and data to make predictions on Australia’s economic policy and management</w:t>
            </w:r>
          </w:p>
          <w:p w14:paraId="579E833A" w14:textId="2D044993" w:rsidR="004F28D3" w:rsidRPr="00FC2EC2" w:rsidRDefault="00CD2F8E" w:rsidP="00A203A6">
            <w:pPr>
              <w:pStyle w:val="ListBullet"/>
              <w:numPr>
                <w:ilvl w:val="0"/>
                <w:numId w:val="23"/>
              </w:numPr>
            </w:pPr>
            <w:r>
              <w:t>in</w:t>
            </w:r>
            <w:r w:rsidR="004F28D3" w:rsidRPr="00FC2EC2">
              <w:t>terpret changes in economic data, including prices, unemployment, economic growth, the labour force and productivity</w:t>
            </w:r>
          </w:p>
          <w:p w14:paraId="0FEE55D8" w14:textId="2F1EEF7E" w:rsidR="006A13C0" w:rsidRPr="00B542EB" w:rsidRDefault="0083235F" w:rsidP="00967EF5">
            <w:pPr>
              <w:pStyle w:val="Tableheadings"/>
            </w:pPr>
            <w:r w:rsidRPr="00473AF2">
              <w:t xml:space="preserve">Economic </w:t>
            </w:r>
            <w:r w:rsidR="007D27C3" w:rsidRPr="00473AF2">
              <w:t>k</w:t>
            </w:r>
            <w:r w:rsidRPr="00473AF2">
              <w:t xml:space="preserve">nowledge and </w:t>
            </w:r>
            <w:r w:rsidR="007D27C3" w:rsidRPr="00473AF2">
              <w:t>u</w:t>
            </w:r>
            <w:r w:rsidRPr="00473AF2">
              <w:t>nderstanding</w:t>
            </w:r>
            <w:r w:rsidR="00A24FEA">
              <w:t xml:space="preserve">: </w:t>
            </w:r>
            <w:r w:rsidR="00435553" w:rsidRPr="00B80875">
              <w:t>The business cycle</w:t>
            </w:r>
          </w:p>
          <w:p w14:paraId="455FFBF0" w14:textId="16A62097" w:rsidR="006A13C0" w:rsidRPr="00B80875" w:rsidRDefault="002508B5" w:rsidP="00C82AD1">
            <w:pPr>
              <w:pStyle w:val="ListBullet"/>
            </w:pPr>
            <w:r w:rsidRPr="00B80875">
              <w:t xml:space="preserve">the </w:t>
            </w:r>
            <w:r w:rsidR="00CF532B" w:rsidRPr="00B80875">
              <w:t>concept of the business cycle</w:t>
            </w:r>
          </w:p>
          <w:p w14:paraId="6E18E0C4" w14:textId="32799014" w:rsidR="00CF532B" w:rsidRPr="00B80875" w:rsidRDefault="002508B5" w:rsidP="00C82AD1">
            <w:pPr>
              <w:pStyle w:val="ListBullet"/>
            </w:pPr>
            <w:r w:rsidRPr="00B80875">
              <w:t xml:space="preserve">the </w:t>
            </w:r>
            <w:r w:rsidR="00CF532B" w:rsidRPr="00B80875">
              <w:t>distinction between actual GDP and potential GDP</w:t>
            </w:r>
          </w:p>
          <w:p w14:paraId="0E50F012" w14:textId="7EAE50DE" w:rsidR="00F14346" w:rsidRPr="00B80875" w:rsidRDefault="002508B5" w:rsidP="00C82AD1">
            <w:pPr>
              <w:pStyle w:val="ListBullet"/>
            </w:pPr>
            <w:r w:rsidRPr="00B80875">
              <w:t xml:space="preserve">the </w:t>
            </w:r>
            <w:r w:rsidR="00CF532B" w:rsidRPr="00B80875">
              <w:t>characteristics of the phases of the business cycle</w:t>
            </w:r>
          </w:p>
          <w:p w14:paraId="0A19A0DE" w14:textId="6FBAC19E" w:rsidR="00CF532B" w:rsidRPr="00B80875" w:rsidRDefault="002508B5" w:rsidP="00C82AD1">
            <w:pPr>
              <w:pStyle w:val="ListBullet"/>
            </w:pPr>
            <w:r w:rsidRPr="00B80875">
              <w:t xml:space="preserve">the </w:t>
            </w:r>
            <w:r w:rsidR="00CF532B" w:rsidRPr="00B80875">
              <w:t>effect of the business cycle on key economic indicators</w:t>
            </w:r>
            <w:r w:rsidR="00B84F4F" w:rsidRPr="00B80875">
              <w:t xml:space="preserve"> (including real GDP, inflation, unemployment, retail sales, business investment, share prices)</w:t>
            </w:r>
          </w:p>
          <w:p w14:paraId="521699C3" w14:textId="2B0E6288" w:rsidR="006A13C0" w:rsidRPr="00B80875" w:rsidRDefault="002508B5" w:rsidP="00A01FF8">
            <w:pPr>
              <w:pStyle w:val="ListBullet"/>
              <w:spacing w:after="0"/>
            </w:pPr>
            <w:r w:rsidRPr="00B80875">
              <w:t xml:space="preserve">causes </w:t>
            </w:r>
            <w:r w:rsidR="00CF532B" w:rsidRPr="00B80875">
              <w:t>of the business cycle</w:t>
            </w:r>
            <w:r w:rsidR="00B84F4F" w:rsidRPr="00B80875">
              <w:t xml:space="preserve"> (including domestic and external factors)</w:t>
            </w:r>
          </w:p>
        </w:tc>
      </w:tr>
      <w:tr w:rsidR="006A13C0" w:rsidRPr="00B80875" w14:paraId="7C5DFC1A" w14:textId="77777777" w:rsidTr="0017217F">
        <w:trPr>
          <w:gridBefore w:val="1"/>
          <w:wBefore w:w="10" w:type="dxa"/>
        </w:trPr>
        <w:tc>
          <w:tcPr>
            <w:tcW w:w="993" w:type="dxa"/>
            <w:gridSpan w:val="2"/>
            <w:tcBorders>
              <w:top w:val="single" w:sz="4" w:space="0" w:color="FFFFFF" w:themeColor="background1"/>
              <w:bottom w:val="single" w:sz="4" w:space="0" w:color="FFFFFF" w:themeColor="background1"/>
            </w:tcBorders>
            <w:shd w:val="clear" w:color="auto" w:fill="E4D8EB" w:themeFill="accent4" w:themeFillTint="66"/>
            <w:vAlign w:val="center"/>
            <w:hideMark/>
          </w:tcPr>
          <w:p w14:paraId="010DF88D" w14:textId="6067C7EF" w:rsidR="006A13C0" w:rsidRPr="00B80875" w:rsidRDefault="00163F65" w:rsidP="0047621D">
            <w:pPr>
              <w:jc w:val="center"/>
              <w:rPr>
                <w:rFonts w:asciiTheme="minorHAnsi" w:hAnsiTheme="minorHAnsi"/>
                <w:szCs w:val="20"/>
              </w:rPr>
            </w:pPr>
            <w:r w:rsidRPr="00B80875">
              <w:rPr>
                <w:rFonts w:asciiTheme="minorHAnsi" w:hAnsiTheme="minorHAnsi"/>
                <w:szCs w:val="20"/>
              </w:rPr>
              <w:t>2–</w:t>
            </w:r>
            <w:r w:rsidR="00435553" w:rsidRPr="00B80875">
              <w:rPr>
                <w:rFonts w:asciiTheme="minorHAnsi" w:hAnsiTheme="minorHAnsi"/>
                <w:szCs w:val="20"/>
              </w:rPr>
              <w:t xml:space="preserve">3 </w:t>
            </w:r>
          </w:p>
        </w:tc>
        <w:tc>
          <w:tcPr>
            <w:tcW w:w="8319" w:type="dxa"/>
            <w:gridSpan w:val="2"/>
            <w:tcBorders>
              <w:right w:val="single" w:sz="4" w:space="0" w:color="D7C5E2" w:themeColor="accent4" w:themeTint="99"/>
            </w:tcBorders>
          </w:tcPr>
          <w:p w14:paraId="2E8BD675" w14:textId="35E34C1F" w:rsidR="00473AF2" w:rsidRPr="00FC2EC2" w:rsidRDefault="004B56D4" w:rsidP="00967EF5">
            <w:pPr>
              <w:pStyle w:val="Tableheadings"/>
              <w:rPr>
                <w:rFonts w:eastAsiaTheme="minorEastAsia"/>
              </w:rPr>
            </w:pPr>
            <w:r w:rsidRPr="004B56D4">
              <w:rPr>
                <w:rFonts w:eastAsiaTheme="minorEastAsia"/>
              </w:rPr>
              <w:t xml:space="preserve">Economic </w:t>
            </w:r>
            <w:r w:rsidR="007D27C3" w:rsidRPr="004B56D4">
              <w:rPr>
                <w:rFonts w:eastAsiaTheme="minorEastAsia"/>
              </w:rPr>
              <w:t>s</w:t>
            </w:r>
            <w:r w:rsidRPr="004B56D4">
              <w:rPr>
                <w:rFonts w:eastAsiaTheme="minorEastAsia"/>
              </w:rPr>
              <w:t>kills:</w:t>
            </w:r>
            <w:r>
              <w:rPr>
                <w:rFonts w:eastAsiaTheme="minorEastAsia"/>
              </w:rPr>
              <w:t xml:space="preserve"> </w:t>
            </w:r>
            <w:r w:rsidR="00473AF2" w:rsidRPr="00FC2EC2">
              <w:rPr>
                <w:rFonts w:eastAsiaTheme="minorEastAsia"/>
              </w:rPr>
              <w:t>Reasoning, interpretation and analysis</w:t>
            </w:r>
          </w:p>
          <w:p w14:paraId="515B56E2" w14:textId="77777777" w:rsidR="00473AF2" w:rsidRPr="00C82AD1" w:rsidRDefault="00473AF2" w:rsidP="00C82AD1">
            <w:pPr>
              <w:pStyle w:val="ListBullet"/>
            </w:pPr>
            <w:r w:rsidRPr="00C82AD1">
              <w:t>apply mathematical techniques relevant to macroeconomic analysis, including: calculating the value of the marginal propensity to consume, the marginal propensity to save, and the multiplier; determining the budget outcome; interpreting changes in economic indicators, such as the CPI, GDP and labour force data; calculating a percentage rate of change</w:t>
            </w:r>
          </w:p>
          <w:p w14:paraId="3820EFA6" w14:textId="0876E9A7" w:rsidR="00473AF2" w:rsidRPr="00BD73A8" w:rsidRDefault="00473AF2" w:rsidP="00C82AD1">
            <w:pPr>
              <w:pStyle w:val="ListBullet"/>
            </w:pPr>
            <w:r w:rsidRPr="00C82AD1">
              <w:t>use macroeconomic models to analyse Australia’s policy stance, includ</w:t>
            </w:r>
            <w:r w:rsidRPr="00BD73A8">
              <w:t xml:space="preserve">ing </w:t>
            </w:r>
            <w:commentRangeStart w:id="10"/>
            <w:r w:rsidRPr="00BD73A8">
              <w:t>the Keynesian aggregate expenditure model</w:t>
            </w:r>
            <w:commentRangeEnd w:id="10"/>
            <w:r w:rsidR="00304E68">
              <w:rPr>
                <w:rStyle w:val="CommentReference"/>
                <w:rFonts w:ascii="Arial" w:eastAsiaTheme="minorHAnsi" w:hAnsi="Arial"/>
              </w:rPr>
              <w:commentReference w:id="10"/>
            </w:r>
          </w:p>
          <w:p w14:paraId="6BCA6F0A" w14:textId="77E4E7CC" w:rsidR="00473AF2" w:rsidRPr="00FC2EC2" w:rsidRDefault="00AA2307" w:rsidP="00967EF5">
            <w:pPr>
              <w:pStyle w:val="Tableheadings"/>
              <w:rPr>
                <w:rFonts w:eastAsiaTheme="minorEastAsia"/>
              </w:rPr>
            </w:pPr>
            <w:r>
              <w:rPr>
                <w:rFonts w:eastAsiaTheme="minorEastAsia"/>
              </w:rPr>
              <w:t xml:space="preserve">Economic </w:t>
            </w:r>
            <w:r w:rsidR="007D27C3">
              <w:rPr>
                <w:rFonts w:eastAsiaTheme="minorEastAsia"/>
              </w:rPr>
              <w:t>s</w:t>
            </w:r>
            <w:r>
              <w:rPr>
                <w:rFonts w:eastAsiaTheme="minorEastAsia"/>
              </w:rPr>
              <w:t xml:space="preserve">kills: </w:t>
            </w:r>
            <w:r w:rsidR="00473AF2" w:rsidRPr="00FC2EC2">
              <w:rPr>
                <w:rFonts w:eastAsiaTheme="minorEastAsia"/>
              </w:rPr>
              <w:t>Communication</w:t>
            </w:r>
          </w:p>
          <w:p w14:paraId="5012D409" w14:textId="77777777" w:rsidR="00473AF2" w:rsidRPr="00FC2EC2" w:rsidRDefault="00473AF2" w:rsidP="00A203A6">
            <w:pPr>
              <w:pStyle w:val="ListBullet"/>
              <w:numPr>
                <w:ilvl w:val="0"/>
                <w:numId w:val="23"/>
              </w:numPr>
            </w:pPr>
            <w:r w:rsidRPr="00FC2EC2">
              <w:t>select and use appropriate terminology</w:t>
            </w:r>
          </w:p>
          <w:p w14:paraId="7D5D2B6B" w14:textId="77777777" w:rsidR="00473AF2" w:rsidRPr="00FC2EC2" w:rsidRDefault="00473AF2" w:rsidP="00A203A6">
            <w:pPr>
              <w:pStyle w:val="ListBullet"/>
              <w:numPr>
                <w:ilvl w:val="0"/>
                <w:numId w:val="23"/>
              </w:numPr>
            </w:pPr>
            <w:r w:rsidRPr="00FC2EC2">
              <w:t>select and use appropriate formats when communicating economic understandings</w:t>
            </w:r>
          </w:p>
          <w:p w14:paraId="5B2BBD96" w14:textId="04355FF2" w:rsidR="00473AF2" w:rsidRPr="00FC2EC2" w:rsidRDefault="00473AF2" w:rsidP="00A203A6">
            <w:pPr>
              <w:pStyle w:val="ListBullet"/>
              <w:numPr>
                <w:ilvl w:val="0"/>
                <w:numId w:val="23"/>
              </w:numPr>
            </w:pPr>
            <w:r w:rsidRPr="00FC2EC2">
              <w:t>use economic models to convey economic theory and reasoning about Australia’s policy mix</w:t>
            </w:r>
          </w:p>
          <w:p w14:paraId="1004F3D2" w14:textId="3CD29175" w:rsidR="006A13C0" w:rsidRPr="00B80875" w:rsidRDefault="0083235F" w:rsidP="00967EF5">
            <w:pPr>
              <w:pStyle w:val="Tableheadings"/>
            </w:pPr>
            <w:r>
              <w:t xml:space="preserve">Economic </w:t>
            </w:r>
            <w:r w:rsidR="007D27C3">
              <w:t>k</w:t>
            </w:r>
            <w:r>
              <w:t xml:space="preserve">nowledge and </w:t>
            </w:r>
            <w:r w:rsidR="007D27C3">
              <w:t>u</w:t>
            </w:r>
            <w:r>
              <w:t>nderstanding</w:t>
            </w:r>
            <w:r w:rsidR="00A24FEA">
              <w:t xml:space="preserve">: </w:t>
            </w:r>
            <w:r w:rsidR="00435553" w:rsidRPr="00B80875">
              <w:t>The aggregate expenditure model</w:t>
            </w:r>
          </w:p>
          <w:p w14:paraId="290A746B" w14:textId="172F2451" w:rsidR="006A13C0" w:rsidRPr="00B80875" w:rsidRDefault="002508B5" w:rsidP="00C82AD1">
            <w:pPr>
              <w:pStyle w:val="ListBullet"/>
              <w:spacing w:after="0"/>
            </w:pPr>
            <w:r w:rsidRPr="00B80875">
              <w:t xml:space="preserve">the </w:t>
            </w:r>
            <w:r w:rsidR="00A52791" w:rsidRPr="00B80875">
              <w:t>components of aggregate expenditure</w:t>
            </w:r>
            <w:r>
              <w:t xml:space="preserve"> (AE)</w:t>
            </w:r>
          </w:p>
          <w:p w14:paraId="445B91D1" w14:textId="3F3CDDE5" w:rsidR="00A52791" w:rsidRPr="00C82AD1" w:rsidRDefault="007E49B9" w:rsidP="00C82AD1">
            <w:pPr>
              <w:pStyle w:val="ListBullet2"/>
            </w:pPr>
            <w:r w:rsidRPr="00C82AD1">
              <w:t>consumption</w:t>
            </w:r>
          </w:p>
          <w:p w14:paraId="2CFA3D3C" w14:textId="71F5C610" w:rsidR="00A52791" w:rsidRPr="00C82AD1" w:rsidRDefault="007E49B9" w:rsidP="00C82AD1">
            <w:pPr>
              <w:pStyle w:val="ListBullet2"/>
            </w:pPr>
            <w:r w:rsidRPr="00C82AD1">
              <w:t>investment</w:t>
            </w:r>
          </w:p>
          <w:p w14:paraId="3F3745C0" w14:textId="5CF35199" w:rsidR="00A52791" w:rsidRPr="00C82AD1" w:rsidRDefault="007E49B9" w:rsidP="00C82AD1">
            <w:pPr>
              <w:pStyle w:val="ListBullet2"/>
            </w:pPr>
            <w:r w:rsidRPr="00C82AD1">
              <w:t xml:space="preserve">government </w:t>
            </w:r>
            <w:r w:rsidR="00A52791" w:rsidRPr="00C82AD1">
              <w:t>spending</w:t>
            </w:r>
          </w:p>
          <w:p w14:paraId="418B8A79" w14:textId="57C7F381" w:rsidR="00A52791" w:rsidRPr="00C82AD1" w:rsidRDefault="007E49B9" w:rsidP="00C82AD1">
            <w:pPr>
              <w:pStyle w:val="ListBullet2"/>
              <w:spacing w:after="0"/>
            </w:pPr>
            <w:r w:rsidRPr="00C82AD1">
              <w:t xml:space="preserve">net </w:t>
            </w:r>
            <w:r w:rsidR="00A52791" w:rsidRPr="00C82AD1">
              <w:t>exports</w:t>
            </w:r>
          </w:p>
          <w:p w14:paraId="1120E389" w14:textId="31E7DBC9" w:rsidR="00F14346" w:rsidRPr="00B80875" w:rsidRDefault="002508B5" w:rsidP="00C82AD1">
            <w:pPr>
              <w:pStyle w:val="ListBullet"/>
            </w:pPr>
            <w:r w:rsidRPr="00B80875">
              <w:t xml:space="preserve">factors </w:t>
            </w:r>
            <w:r w:rsidR="00C40537" w:rsidRPr="00B80875">
              <w:t xml:space="preserve">affecting </w:t>
            </w:r>
            <w:r w:rsidR="00EF0025" w:rsidRPr="00B80875">
              <w:t xml:space="preserve">each of </w:t>
            </w:r>
            <w:r w:rsidR="00C40537" w:rsidRPr="00B80875">
              <w:t>the components of aggregate expenditure</w:t>
            </w:r>
          </w:p>
          <w:p w14:paraId="7FF3F31C" w14:textId="1150D74B" w:rsidR="00C40537" w:rsidRPr="00B80875" w:rsidRDefault="002508B5" w:rsidP="00C82AD1">
            <w:pPr>
              <w:pStyle w:val="ListBullet"/>
            </w:pPr>
            <w:r w:rsidRPr="00B80875">
              <w:t xml:space="preserve">the </w:t>
            </w:r>
            <w:r w:rsidR="004267FE" w:rsidRPr="00B80875">
              <w:t>concept of the consumption function</w:t>
            </w:r>
          </w:p>
          <w:p w14:paraId="54DDE302" w14:textId="6F9FB9CE" w:rsidR="004267FE" w:rsidRPr="00B80875" w:rsidRDefault="002508B5" w:rsidP="00C82AD1">
            <w:pPr>
              <w:pStyle w:val="ListBullet"/>
            </w:pPr>
            <w:r w:rsidRPr="00B80875">
              <w:t xml:space="preserve">the </w:t>
            </w:r>
            <w:r w:rsidR="00A054B0" w:rsidRPr="00B80875">
              <w:t>concept of the marginal propensity to consume (</w:t>
            </w:r>
            <w:r w:rsidR="00CD2F8E">
              <w:t>MPC</w:t>
            </w:r>
            <w:r w:rsidR="00A054B0" w:rsidRPr="00B80875">
              <w:t>) and the marginal propensity to save (</w:t>
            </w:r>
            <w:r w:rsidR="00CD2F8E">
              <w:t>MPS</w:t>
            </w:r>
            <w:r w:rsidR="00A054B0" w:rsidRPr="00B80875">
              <w:t>)</w:t>
            </w:r>
          </w:p>
          <w:p w14:paraId="1B092D21" w14:textId="00742ED0" w:rsidR="00A054B0" w:rsidRPr="00B80875" w:rsidRDefault="002508B5" w:rsidP="00C82AD1">
            <w:pPr>
              <w:pStyle w:val="ListBullet"/>
            </w:pPr>
            <w:r w:rsidRPr="00B80875">
              <w:t xml:space="preserve">the </w:t>
            </w:r>
            <w:r w:rsidR="00EF0025" w:rsidRPr="00B80875">
              <w:t>concept of the aggregate expenditure (AE) model and macroeconomic equilibrium</w:t>
            </w:r>
          </w:p>
          <w:p w14:paraId="1C402DFB" w14:textId="47BA77C4" w:rsidR="00EF0025" w:rsidRPr="00B80875" w:rsidRDefault="002508B5" w:rsidP="00C82AD1">
            <w:pPr>
              <w:pStyle w:val="ListBullet"/>
            </w:pPr>
            <w:r w:rsidRPr="00B80875">
              <w:t xml:space="preserve">the </w:t>
            </w:r>
            <w:r w:rsidR="00EF0025" w:rsidRPr="00B80875">
              <w:t>concept of the multiplier</w:t>
            </w:r>
          </w:p>
          <w:p w14:paraId="0E1E5F41" w14:textId="0C171400" w:rsidR="00EF0025" w:rsidRPr="00B80875" w:rsidRDefault="002508B5" w:rsidP="00C82AD1">
            <w:pPr>
              <w:pStyle w:val="ListBullet"/>
            </w:pPr>
            <w:r w:rsidRPr="00B80875">
              <w:t xml:space="preserve">the </w:t>
            </w:r>
            <w:r w:rsidR="00EF0025" w:rsidRPr="00B80875">
              <w:t xml:space="preserve">relationship between the </w:t>
            </w:r>
            <w:r w:rsidR="00CD2F8E">
              <w:t>MPC</w:t>
            </w:r>
            <w:r w:rsidR="00EF0025" w:rsidRPr="00B80875">
              <w:t xml:space="preserve"> and the multiplier</w:t>
            </w:r>
          </w:p>
          <w:p w14:paraId="64C23375" w14:textId="1851FAA0" w:rsidR="00EF0025" w:rsidRPr="00B80875" w:rsidRDefault="002508B5" w:rsidP="00C82AD1">
            <w:pPr>
              <w:pStyle w:val="ListBullet"/>
            </w:pPr>
            <w:r w:rsidRPr="00B80875">
              <w:t xml:space="preserve">the </w:t>
            </w:r>
            <w:r w:rsidR="00EF0025" w:rsidRPr="00B80875">
              <w:t>multiplier and the aggregate expenditure (AE) model</w:t>
            </w:r>
          </w:p>
          <w:p w14:paraId="35C5B282" w14:textId="76856BC2" w:rsidR="00CB6753" w:rsidRPr="00FC2EC2" w:rsidRDefault="002508B5" w:rsidP="00A01FF8">
            <w:pPr>
              <w:pStyle w:val="ListBullet"/>
              <w:spacing w:after="0"/>
            </w:pPr>
            <w:r w:rsidRPr="00B80875">
              <w:t xml:space="preserve">the </w:t>
            </w:r>
            <w:r w:rsidR="008E455E" w:rsidRPr="00B80875">
              <w:t>effect of changes in aggregate expenditure on the equilibrium level of income/output</w:t>
            </w:r>
          </w:p>
        </w:tc>
      </w:tr>
      <w:tr w:rsidR="006A13C0" w:rsidRPr="00B80875" w14:paraId="7AB9CD21" w14:textId="77777777" w:rsidTr="0017217F">
        <w:trPr>
          <w:gridBefore w:val="1"/>
          <w:wBefore w:w="10" w:type="dxa"/>
        </w:trPr>
        <w:tc>
          <w:tcPr>
            <w:tcW w:w="993" w:type="dxa"/>
            <w:gridSpan w:val="2"/>
            <w:tcBorders>
              <w:top w:val="single" w:sz="4" w:space="0" w:color="FFFFFF" w:themeColor="background1"/>
              <w:bottom w:val="single" w:sz="4" w:space="0" w:color="FFFFFF" w:themeColor="background1"/>
            </w:tcBorders>
            <w:shd w:val="clear" w:color="auto" w:fill="E4D8EB" w:themeFill="accent4" w:themeFillTint="66"/>
            <w:vAlign w:val="center"/>
            <w:hideMark/>
          </w:tcPr>
          <w:p w14:paraId="3C9D75EB" w14:textId="7B87B48A" w:rsidR="006A13C0" w:rsidRPr="00B80875" w:rsidRDefault="00163F65" w:rsidP="0047621D">
            <w:pPr>
              <w:jc w:val="center"/>
              <w:rPr>
                <w:rFonts w:asciiTheme="minorHAnsi" w:hAnsiTheme="minorHAnsi"/>
                <w:szCs w:val="20"/>
              </w:rPr>
            </w:pPr>
            <w:r w:rsidRPr="00B80875">
              <w:rPr>
                <w:rFonts w:asciiTheme="minorHAnsi" w:hAnsiTheme="minorHAnsi"/>
                <w:szCs w:val="20"/>
              </w:rPr>
              <w:t>4–</w:t>
            </w:r>
            <w:r w:rsidR="00762F67" w:rsidRPr="00B80875">
              <w:rPr>
                <w:rFonts w:asciiTheme="minorHAnsi" w:hAnsiTheme="minorHAnsi"/>
                <w:szCs w:val="20"/>
              </w:rPr>
              <w:t xml:space="preserve">5 </w:t>
            </w:r>
          </w:p>
        </w:tc>
        <w:tc>
          <w:tcPr>
            <w:tcW w:w="8319" w:type="dxa"/>
            <w:gridSpan w:val="2"/>
            <w:tcBorders>
              <w:right w:val="single" w:sz="4" w:space="0" w:color="D7C5E2" w:themeColor="accent4" w:themeTint="99"/>
            </w:tcBorders>
          </w:tcPr>
          <w:p w14:paraId="57712BAA" w14:textId="70AA17DF" w:rsidR="00EC473D" w:rsidRDefault="007D27C3" w:rsidP="00967EF5">
            <w:pPr>
              <w:pStyle w:val="Tableheadings"/>
              <w:rPr>
                <w:rFonts w:ascii="Calibri" w:eastAsiaTheme="minorEastAsia" w:hAnsi="Calibri" w:cstheme="minorBidi"/>
              </w:rPr>
            </w:pPr>
            <w:r w:rsidRPr="002E5C45">
              <w:t>Ta</w:t>
            </w:r>
            <w:r>
              <w:t xml:space="preserve">sk </w:t>
            </w:r>
            <w:r w:rsidR="00EC473D">
              <w:t>6</w:t>
            </w:r>
            <w:r w:rsidR="00EC473D" w:rsidRPr="002E5C45">
              <w:t xml:space="preserve">: </w:t>
            </w:r>
            <w:r w:rsidR="00AA2307">
              <w:t xml:space="preserve">Data </w:t>
            </w:r>
            <w:r>
              <w:t>i</w:t>
            </w:r>
            <w:r w:rsidR="00AA2307">
              <w:t xml:space="preserve">nterpretation/Short </w:t>
            </w:r>
            <w:r>
              <w:t>a</w:t>
            </w:r>
            <w:r w:rsidR="00AA2307">
              <w:t>nswer</w:t>
            </w:r>
          </w:p>
          <w:p w14:paraId="715D6BCE" w14:textId="59B7F505" w:rsidR="00473AF2" w:rsidRPr="002E5C45" w:rsidRDefault="004B56D4" w:rsidP="00967EF5">
            <w:pPr>
              <w:pStyle w:val="Tableheadings"/>
              <w:rPr>
                <w:rFonts w:ascii="Calibri" w:eastAsiaTheme="minorEastAsia" w:hAnsi="Calibri" w:cstheme="minorBidi"/>
              </w:rPr>
            </w:pPr>
            <w:r w:rsidRPr="004B56D4">
              <w:rPr>
                <w:rFonts w:ascii="Calibri" w:eastAsiaTheme="minorEastAsia" w:hAnsi="Calibri" w:cstheme="minorBidi"/>
              </w:rPr>
              <w:t xml:space="preserve">Economic </w:t>
            </w:r>
            <w:r w:rsidR="007D27C3" w:rsidRPr="004B56D4">
              <w:rPr>
                <w:rFonts w:ascii="Calibri" w:eastAsiaTheme="minorEastAsia" w:hAnsi="Calibri" w:cstheme="minorBidi"/>
              </w:rPr>
              <w:t>s</w:t>
            </w:r>
            <w:r w:rsidRPr="004B56D4">
              <w:rPr>
                <w:rFonts w:ascii="Calibri" w:eastAsiaTheme="minorEastAsia" w:hAnsi="Calibri" w:cstheme="minorBidi"/>
              </w:rPr>
              <w:t>kills:</w:t>
            </w:r>
            <w:r>
              <w:rPr>
                <w:rFonts w:ascii="Calibri" w:eastAsiaTheme="minorEastAsia" w:hAnsi="Calibri" w:cstheme="minorBidi"/>
              </w:rPr>
              <w:t xml:space="preserve"> </w:t>
            </w:r>
            <w:r w:rsidR="00473AF2" w:rsidRPr="002E5C45">
              <w:rPr>
                <w:rFonts w:ascii="Calibri" w:eastAsiaTheme="minorEastAsia" w:hAnsi="Calibri" w:cstheme="minorBidi"/>
              </w:rPr>
              <w:t>Reasoning, interpretation and analysis</w:t>
            </w:r>
          </w:p>
          <w:p w14:paraId="27FDB75F" w14:textId="77777777" w:rsidR="00473AF2" w:rsidRPr="00C82AD1" w:rsidRDefault="00473AF2" w:rsidP="00C82AD1">
            <w:pPr>
              <w:pStyle w:val="ListBullet"/>
            </w:pPr>
            <w:r w:rsidRPr="00C82AD1">
              <w:t>apply mathematical techniques relevant to macroeconomic analysis, including: calculating the value of the marginal propensity to consume, the marginal propensity to save, and the multiplier; determining the budget outcome; interpreting changes in economic indicators, such as the CPI, GDP and labour force data; calculating a percentage rate of change</w:t>
            </w:r>
          </w:p>
          <w:p w14:paraId="58144809" w14:textId="7E58A1B3" w:rsidR="00473AF2" w:rsidRPr="00C82AD1" w:rsidRDefault="00473AF2" w:rsidP="00C82AD1">
            <w:pPr>
              <w:pStyle w:val="ListBullet"/>
            </w:pPr>
            <w:r w:rsidRPr="00C82AD1">
              <w:t>use macroeconomic models to analyse Australia’s policy stance, including</w:t>
            </w:r>
            <w:r w:rsidRPr="00BD73A8">
              <w:t xml:space="preserve"> the </w:t>
            </w:r>
            <w:commentRangeStart w:id="11"/>
            <w:r w:rsidRPr="00BD73A8">
              <w:t>aggregate demand and aggregate supply model</w:t>
            </w:r>
            <w:commentRangeEnd w:id="11"/>
            <w:r w:rsidR="00304E68">
              <w:rPr>
                <w:rStyle w:val="CommentReference"/>
                <w:rFonts w:ascii="Arial" w:eastAsiaTheme="minorHAnsi" w:hAnsi="Arial"/>
              </w:rPr>
              <w:commentReference w:id="11"/>
            </w:r>
          </w:p>
          <w:p w14:paraId="365D1433" w14:textId="6FA53755" w:rsidR="00473AF2" w:rsidRPr="002E5C45" w:rsidRDefault="00AA2307" w:rsidP="00967EF5">
            <w:pPr>
              <w:pStyle w:val="Tableheadings"/>
              <w:rPr>
                <w:rFonts w:eastAsiaTheme="minorEastAsia"/>
              </w:rPr>
            </w:pPr>
            <w:r>
              <w:rPr>
                <w:rFonts w:eastAsiaTheme="minorEastAsia"/>
              </w:rPr>
              <w:t xml:space="preserve">Economic </w:t>
            </w:r>
            <w:r w:rsidR="007D27C3">
              <w:rPr>
                <w:rFonts w:eastAsiaTheme="minorEastAsia"/>
              </w:rPr>
              <w:t>s</w:t>
            </w:r>
            <w:r>
              <w:rPr>
                <w:rFonts w:eastAsiaTheme="minorEastAsia"/>
              </w:rPr>
              <w:t xml:space="preserve">kills: </w:t>
            </w:r>
            <w:r w:rsidR="00473AF2" w:rsidRPr="002E5C45">
              <w:rPr>
                <w:rFonts w:eastAsiaTheme="minorEastAsia"/>
              </w:rPr>
              <w:t>Communication</w:t>
            </w:r>
          </w:p>
          <w:p w14:paraId="2BDCB388" w14:textId="77777777" w:rsidR="00473AF2" w:rsidRPr="00C82AD1" w:rsidRDefault="00473AF2" w:rsidP="00C82AD1">
            <w:pPr>
              <w:pStyle w:val="ListBullet"/>
            </w:pPr>
            <w:r w:rsidRPr="00C82AD1">
              <w:t>select and use appropriate terminology</w:t>
            </w:r>
          </w:p>
          <w:p w14:paraId="4CE03B6D" w14:textId="77777777" w:rsidR="00473AF2" w:rsidRPr="00C82AD1" w:rsidRDefault="00473AF2" w:rsidP="00C82AD1">
            <w:pPr>
              <w:pStyle w:val="ListBullet"/>
            </w:pPr>
            <w:r w:rsidRPr="00C82AD1">
              <w:t>select and use appropriate formats when communicating economic understandings</w:t>
            </w:r>
          </w:p>
          <w:p w14:paraId="5154A854" w14:textId="77777777" w:rsidR="00473AF2" w:rsidRPr="00C82AD1" w:rsidRDefault="00473AF2" w:rsidP="00C82AD1">
            <w:pPr>
              <w:pStyle w:val="ListBullet"/>
            </w:pPr>
            <w:r w:rsidRPr="00C82AD1">
              <w:t>use economic models to convey economic theory and reasoning about Australia’s policy mix</w:t>
            </w:r>
          </w:p>
          <w:p w14:paraId="7FC1979A" w14:textId="661038AF" w:rsidR="006A13C0" w:rsidRPr="00C82AD1" w:rsidRDefault="004F28D3" w:rsidP="00C82AD1">
            <w:pPr>
              <w:pStyle w:val="Tableheadings"/>
            </w:pPr>
            <w:r w:rsidRPr="00C82AD1">
              <w:t xml:space="preserve">Economic </w:t>
            </w:r>
            <w:r w:rsidR="007D27C3" w:rsidRPr="00C82AD1">
              <w:t>k</w:t>
            </w:r>
            <w:r w:rsidRPr="00C82AD1">
              <w:t xml:space="preserve">nowledge and </w:t>
            </w:r>
            <w:r w:rsidR="007D27C3" w:rsidRPr="00C82AD1">
              <w:t>u</w:t>
            </w:r>
            <w:r w:rsidRPr="00C82AD1">
              <w:t>nderstanding</w:t>
            </w:r>
            <w:r w:rsidR="00A24FEA" w:rsidRPr="00C82AD1">
              <w:t xml:space="preserve">: </w:t>
            </w:r>
            <w:r w:rsidR="00435553" w:rsidRPr="00C82AD1">
              <w:t>The aggregate demand and aggregate supply model</w:t>
            </w:r>
          </w:p>
          <w:p w14:paraId="40E1E9FA" w14:textId="56D28396" w:rsidR="006A13C0" w:rsidRPr="00B80875" w:rsidRDefault="00E603CF" w:rsidP="00C82AD1">
            <w:pPr>
              <w:pStyle w:val="ListBullet"/>
            </w:pPr>
            <w:r w:rsidRPr="00B80875">
              <w:t xml:space="preserve">the </w:t>
            </w:r>
            <w:r w:rsidR="005C5A69" w:rsidRPr="00B80875">
              <w:t>aggregate demand (AD) curve</w:t>
            </w:r>
          </w:p>
          <w:p w14:paraId="69F3FBA5" w14:textId="41660EC2" w:rsidR="005C5A69" w:rsidRPr="00B80875" w:rsidRDefault="00E603CF" w:rsidP="00C82AD1">
            <w:pPr>
              <w:pStyle w:val="ListBullet"/>
            </w:pPr>
            <w:r w:rsidRPr="00B80875">
              <w:t xml:space="preserve">the </w:t>
            </w:r>
            <w:r w:rsidR="005C5A69" w:rsidRPr="00B80875">
              <w:t>distinction between a movement along and a shift of the AD curve</w:t>
            </w:r>
          </w:p>
          <w:p w14:paraId="12FDA372" w14:textId="19599084" w:rsidR="005C5A69" w:rsidRPr="00B80875" w:rsidRDefault="00E603CF" w:rsidP="00C82AD1">
            <w:pPr>
              <w:pStyle w:val="ListBullet"/>
            </w:pPr>
            <w:r w:rsidRPr="00B80875">
              <w:t xml:space="preserve">factors </w:t>
            </w:r>
            <w:r w:rsidR="005C5A69" w:rsidRPr="00B80875">
              <w:t>that can shift the AD curve</w:t>
            </w:r>
          </w:p>
          <w:p w14:paraId="19D7004D" w14:textId="62E24852" w:rsidR="005C5A69" w:rsidRPr="00B80875" w:rsidRDefault="00E603CF" w:rsidP="00C82AD1">
            <w:pPr>
              <w:pStyle w:val="ListBullet"/>
            </w:pPr>
            <w:r w:rsidRPr="00B80875">
              <w:t xml:space="preserve">the </w:t>
            </w:r>
            <w:r w:rsidR="005C5A69" w:rsidRPr="00B80875">
              <w:t>distinction between the short run aggregate supply (SRAS) curve and the long run aggregate supply (LRAS) curve</w:t>
            </w:r>
          </w:p>
          <w:p w14:paraId="7323858C" w14:textId="3A171AC8" w:rsidR="005C5A69" w:rsidRPr="00B80875" w:rsidRDefault="00E603CF" w:rsidP="00C82AD1">
            <w:pPr>
              <w:pStyle w:val="ListBullet"/>
            </w:pPr>
            <w:r w:rsidRPr="00B80875">
              <w:t xml:space="preserve">the </w:t>
            </w:r>
            <w:r w:rsidR="005C5A69" w:rsidRPr="00B80875">
              <w:t>distinction between a movement along and a shift of the SRAS curve</w:t>
            </w:r>
          </w:p>
          <w:p w14:paraId="34C7532E" w14:textId="3C655190" w:rsidR="005C5A69" w:rsidRPr="00B80875" w:rsidRDefault="00E603CF" w:rsidP="00C82AD1">
            <w:pPr>
              <w:pStyle w:val="ListBullet"/>
            </w:pPr>
            <w:r w:rsidRPr="00B80875">
              <w:t xml:space="preserve">factors </w:t>
            </w:r>
            <w:r w:rsidR="005C5A69" w:rsidRPr="00B80875">
              <w:t>that can shift the SRAS and the LRAS curves</w:t>
            </w:r>
          </w:p>
          <w:p w14:paraId="37FE2505" w14:textId="6CE6A2E9" w:rsidR="005C5A69" w:rsidRPr="00B80875" w:rsidRDefault="00E603CF" w:rsidP="00C82AD1">
            <w:pPr>
              <w:pStyle w:val="ListBullet"/>
            </w:pPr>
            <w:r w:rsidRPr="00B80875">
              <w:t xml:space="preserve">macroeconomic </w:t>
            </w:r>
            <w:r w:rsidR="005C5A69" w:rsidRPr="00B80875">
              <w:t>equilibrium and the AD/AS model</w:t>
            </w:r>
          </w:p>
          <w:p w14:paraId="237B254E" w14:textId="36287260" w:rsidR="005C5A69" w:rsidRPr="00B80875" w:rsidRDefault="00E603CF" w:rsidP="00C82AD1">
            <w:pPr>
              <w:pStyle w:val="ListBullet"/>
            </w:pPr>
            <w:r w:rsidRPr="00B80875">
              <w:t xml:space="preserve">the </w:t>
            </w:r>
            <w:r w:rsidR="005C5A69" w:rsidRPr="00B80875">
              <w:t>distinction between short run equilibrium and long run equilibrium</w:t>
            </w:r>
            <w:r w:rsidR="008A7738" w:rsidRPr="00B80875">
              <w:t xml:space="preserve"> (the distinction between actual GDP and potential GDP)</w:t>
            </w:r>
          </w:p>
          <w:p w14:paraId="35D9FF8D" w14:textId="2E0EDECD" w:rsidR="00F14346" w:rsidRPr="00B80875" w:rsidRDefault="00E603CF" w:rsidP="00C82AD1">
            <w:pPr>
              <w:pStyle w:val="ListBullet"/>
            </w:pPr>
            <w:r w:rsidRPr="00B80875">
              <w:t>the</w:t>
            </w:r>
            <w:r w:rsidR="005C5A69" w:rsidRPr="00B80875">
              <w:t xml:space="preserve"> effect of changes in aggregate demand</w:t>
            </w:r>
            <w:r w:rsidR="008A7738" w:rsidRPr="00B80875">
              <w:t xml:space="preserve"> (shifts of the AD curve)</w:t>
            </w:r>
            <w:r w:rsidR="005C5A69" w:rsidRPr="00B80875">
              <w:t xml:space="preserve"> on macroeconomic equilibrium</w:t>
            </w:r>
          </w:p>
          <w:p w14:paraId="2838BD02" w14:textId="3570200A" w:rsidR="005C5A69" w:rsidRPr="00B80875" w:rsidRDefault="00E603CF" w:rsidP="00C82AD1">
            <w:pPr>
              <w:pStyle w:val="ListBullet"/>
            </w:pPr>
            <w:r w:rsidRPr="00B80875">
              <w:t xml:space="preserve">the </w:t>
            </w:r>
            <w:r w:rsidR="005C5A69" w:rsidRPr="00B80875">
              <w:t>effect of changes in short run aggregate supply</w:t>
            </w:r>
            <w:r w:rsidR="008A7738" w:rsidRPr="00B80875">
              <w:t xml:space="preserve"> (shifts of the SRAS curve) </w:t>
            </w:r>
            <w:r w:rsidR="005C5A69" w:rsidRPr="00B80875">
              <w:t>on macroeconomic equilibrium</w:t>
            </w:r>
          </w:p>
          <w:p w14:paraId="22C79CCB" w14:textId="364BEC8B" w:rsidR="008A7738" w:rsidRPr="00B80875" w:rsidRDefault="00E603CF" w:rsidP="00C82AD1">
            <w:pPr>
              <w:pStyle w:val="ListBullet"/>
            </w:pPr>
            <w:r w:rsidRPr="00B80875">
              <w:t xml:space="preserve">causes </w:t>
            </w:r>
            <w:r w:rsidR="008A7738" w:rsidRPr="00B80875">
              <w:t>of the business cycle using the AD/AS model</w:t>
            </w:r>
          </w:p>
          <w:p w14:paraId="072D9500" w14:textId="023624C1" w:rsidR="006A13C0" w:rsidRPr="00B80875" w:rsidRDefault="00E603CF" w:rsidP="00A01FF8">
            <w:pPr>
              <w:pStyle w:val="ListBullet"/>
              <w:spacing w:after="0"/>
            </w:pPr>
            <w:r w:rsidRPr="00B80875">
              <w:t xml:space="preserve">the </w:t>
            </w:r>
            <w:r w:rsidR="008A7738" w:rsidRPr="00B80875">
              <w:t>tendency for the economy to ‘self</w:t>
            </w:r>
            <w:r w:rsidR="00187203">
              <w:t>-</w:t>
            </w:r>
            <w:r w:rsidR="008A7738" w:rsidRPr="00B80875">
              <w:t>correct’ to potential GDP</w:t>
            </w:r>
          </w:p>
        </w:tc>
      </w:tr>
      <w:tr w:rsidR="006A13C0" w:rsidRPr="00B80875" w14:paraId="220F38E5" w14:textId="77777777" w:rsidTr="0017217F">
        <w:trPr>
          <w:gridBefore w:val="1"/>
          <w:wBefore w:w="10" w:type="dxa"/>
        </w:trPr>
        <w:tc>
          <w:tcPr>
            <w:tcW w:w="993" w:type="dxa"/>
            <w:gridSpan w:val="2"/>
            <w:tcBorders>
              <w:top w:val="single" w:sz="4" w:space="0" w:color="FFFFFF" w:themeColor="background1"/>
              <w:bottom w:val="single" w:sz="4" w:space="0" w:color="FFFFFF" w:themeColor="background1"/>
            </w:tcBorders>
            <w:shd w:val="clear" w:color="auto" w:fill="E4D8EB" w:themeFill="accent4" w:themeFillTint="66"/>
            <w:vAlign w:val="center"/>
            <w:hideMark/>
          </w:tcPr>
          <w:p w14:paraId="44FF6AAB" w14:textId="23B7B0D9" w:rsidR="006A13C0" w:rsidRPr="00B80875" w:rsidRDefault="00435553" w:rsidP="0047621D">
            <w:pPr>
              <w:jc w:val="center"/>
              <w:rPr>
                <w:rFonts w:asciiTheme="minorHAnsi" w:hAnsiTheme="minorHAnsi"/>
                <w:szCs w:val="20"/>
              </w:rPr>
            </w:pPr>
            <w:r w:rsidRPr="00B80875">
              <w:rPr>
                <w:rFonts w:asciiTheme="minorHAnsi" w:hAnsiTheme="minorHAnsi"/>
                <w:szCs w:val="20"/>
              </w:rPr>
              <w:t>6</w:t>
            </w:r>
          </w:p>
        </w:tc>
        <w:tc>
          <w:tcPr>
            <w:tcW w:w="8319" w:type="dxa"/>
            <w:gridSpan w:val="2"/>
            <w:tcBorders>
              <w:right w:val="single" w:sz="4" w:space="0" w:color="D7C5E2" w:themeColor="accent4" w:themeTint="99"/>
            </w:tcBorders>
          </w:tcPr>
          <w:p w14:paraId="15E5B520" w14:textId="1B87F69C" w:rsidR="00CB6753" w:rsidRPr="00C82AD1" w:rsidRDefault="004B56D4" w:rsidP="00C82AD1">
            <w:pPr>
              <w:pStyle w:val="Tableheadings"/>
            </w:pPr>
            <w:r w:rsidRPr="00C82AD1">
              <w:rPr>
                <w:rFonts w:eastAsiaTheme="minorEastAsia"/>
              </w:rPr>
              <w:t xml:space="preserve">Economic </w:t>
            </w:r>
            <w:r w:rsidR="007D27C3" w:rsidRPr="00C82AD1">
              <w:rPr>
                <w:rFonts w:eastAsiaTheme="minorEastAsia"/>
              </w:rPr>
              <w:t>s</w:t>
            </w:r>
            <w:r w:rsidRPr="00C82AD1">
              <w:rPr>
                <w:rFonts w:eastAsiaTheme="minorEastAsia"/>
              </w:rPr>
              <w:t xml:space="preserve">kills: </w:t>
            </w:r>
            <w:r w:rsidR="00CB6753" w:rsidRPr="00C82AD1">
              <w:rPr>
                <w:rFonts w:eastAsiaTheme="minorEastAsia"/>
              </w:rPr>
              <w:t>Reasoning, interpretation and analysis</w:t>
            </w:r>
          </w:p>
          <w:p w14:paraId="5BAE746A" w14:textId="5EB9B871" w:rsidR="00CB6753" w:rsidRPr="00C82AD1" w:rsidRDefault="00CB6753" w:rsidP="00C82AD1">
            <w:pPr>
              <w:pStyle w:val="ListBullet"/>
            </w:pPr>
            <w:r w:rsidRPr="00C82AD1">
              <w:t>use macroeconomic models to analyse Australia’s policy stance, including the Keynesian aggregate expenditure model and the aggregate demand and aggregate supply model</w:t>
            </w:r>
          </w:p>
          <w:p w14:paraId="4EB4E49E" w14:textId="77777777" w:rsidR="00CB6753" w:rsidRPr="00C82AD1" w:rsidRDefault="00CB6753" w:rsidP="00C82AD1">
            <w:pPr>
              <w:pStyle w:val="ListBullet"/>
            </w:pPr>
            <w:r w:rsidRPr="00C82AD1">
              <w:t xml:space="preserve">apply economic reasoning to Australia’s economic position and policy mix </w:t>
            </w:r>
          </w:p>
          <w:p w14:paraId="0CB360A3" w14:textId="77777777" w:rsidR="00CB6753" w:rsidRPr="00C82AD1" w:rsidRDefault="00CB6753" w:rsidP="00C82AD1">
            <w:pPr>
              <w:pStyle w:val="ListBullet"/>
            </w:pPr>
            <w:r w:rsidRPr="00C82AD1">
              <w:t>use evidence found in economic information and data to justify a conclusion</w:t>
            </w:r>
          </w:p>
          <w:p w14:paraId="0B58754A" w14:textId="792D5233" w:rsidR="00CB6753" w:rsidRPr="00FC2EC2" w:rsidRDefault="00AA2307" w:rsidP="00967EF5">
            <w:pPr>
              <w:pStyle w:val="Tableheadings"/>
              <w:rPr>
                <w:rFonts w:eastAsiaTheme="minorEastAsia"/>
              </w:rPr>
            </w:pPr>
            <w:r>
              <w:rPr>
                <w:rFonts w:eastAsiaTheme="minorEastAsia"/>
              </w:rPr>
              <w:t xml:space="preserve">Economic </w:t>
            </w:r>
            <w:r w:rsidR="007D27C3">
              <w:rPr>
                <w:rFonts w:eastAsiaTheme="minorEastAsia"/>
              </w:rPr>
              <w:t>s</w:t>
            </w:r>
            <w:r>
              <w:rPr>
                <w:rFonts w:eastAsiaTheme="minorEastAsia"/>
              </w:rPr>
              <w:t xml:space="preserve">kills: </w:t>
            </w:r>
            <w:r w:rsidR="00CB6753" w:rsidRPr="00FC2EC2">
              <w:rPr>
                <w:rFonts w:eastAsiaTheme="minorEastAsia"/>
              </w:rPr>
              <w:t>Communication</w:t>
            </w:r>
          </w:p>
          <w:p w14:paraId="5B984A88" w14:textId="77777777" w:rsidR="00CB6753" w:rsidRPr="00C82AD1" w:rsidRDefault="00CB6753" w:rsidP="00C82AD1">
            <w:pPr>
              <w:pStyle w:val="ListBullet"/>
            </w:pPr>
            <w:r w:rsidRPr="00C82AD1">
              <w:t>select and use appropriate terminology</w:t>
            </w:r>
          </w:p>
          <w:p w14:paraId="7C703B83" w14:textId="77777777" w:rsidR="00CB6753" w:rsidRPr="00C82AD1" w:rsidRDefault="00CB6753" w:rsidP="00C82AD1">
            <w:pPr>
              <w:pStyle w:val="ListBullet"/>
            </w:pPr>
            <w:r w:rsidRPr="00C82AD1">
              <w:t>select and use appropriate formats when communicating economic understandings</w:t>
            </w:r>
          </w:p>
          <w:p w14:paraId="4D3F14C4" w14:textId="7E1A43B1" w:rsidR="00CB6753" w:rsidRPr="00C82AD1" w:rsidRDefault="00CB6753" w:rsidP="00C82AD1">
            <w:pPr>
              <w:pStyle w:val="ListBullet"/>
            </w:pPr>
            <w:r w:rsidRPr="00C82AD1">
              <w:t>use economic models to convey economic theory and reasoning about Australia’s policy mix</w:t>
            </w:r>
          </w:p>
          <w:p w14:paraId="15ABE961" w14:textId="6688B415" w:rsidR="006A13C0" w:rsidRPr="00B80875" w:rsidRDefault="004F28D3" w:rsidP="00967EF5">
            <w:pPr>
              <w:pStyle w:val="Tableheadings"/>
            </w:pPr>
            <w:r>
              <w:t xml:space="preserve">Economic </w:t>
            </w:r>
            <w:r w:rsidR="00F23289">
              <w:t>k</w:t>
            </w:r>
            <w:r>
              <w:t xml:space="preserve">nowledge and </w:t>
            </w:r>
            <w:r w:rsidR="00F23289">
              <w:t>u</w:t>
            </w:r>
            <w:r>
              <w:t>nderstanding</w:t>
            </w:r>
            <w:r w:rsidR="00A24FEA">
              <w:t xml:space="preserve">: </w:t>
            </w:r>
            <w:r w:rsidR="00435553" w:rsidRPr="00B80875">
              <w:t>Economic policy objectives</w:t>
            </w:r>
          </w:p>
          <w:p w14:paraId="7F24FE1C" w14:textId="7D059FA1" w:rsidR="006A13C0" w:rsidRPr="00B80875" w:rsidRDefault="00E603CF" w:rsidP="00C82AD1">
            <w:pPr>
              <w:pStyle w:val="ListBullet"/>
              <w:spacing w:after="0"/>
            </w:pPr>
            <w:r w:rsidRPr="00B80875">
              <w:t xml:space="preserve">the </w:t>
            </w:r>
            <w:r w:rsidR="00762F67" w:rsidRPr="00B80875">
              <w:t>economic policy objectives of the Australian Government</w:t>
            </w:r>
          </w:p>
          <w:p w14:paraId="49356A23" w14:textId="087AC78C" w:rsidR="00F14346" w:rsidRPr="00B80875" w:rsidRDefault="007E49B9" w:rsidP="00C82AD1">
            <w:pPr>
              <w:pStyle w:val="ListBullet2"/>
            </w:pPr>
            <w:r w:rsidRPr="00B80875">
              <w:t xml:space="preserve">sustainable </w:t>
            </w:r>
            <w:r w:rsidR="00762F67" w:rsidRPr="00B80875">
              <w:t>economic growth</w:t>
            </w:r>
            <w:r w:rsidR="00F8741B" w:rsidRPr="00B80875">
              <w:t xml:space="preserve"> </w:t>
            </w:r>
          </w:p>
          <w:p w14:paraId="1FB42FE0" w14:textId="3A87006B" w:rsidR="00762F67" w:rsidRPr="00B80875" w:rsidRDefault="007E49B9" w:rsidP="00C82AD1">
            <w:pPr>
              <w:pStyle w:val="ListBullet2"/>
            </w:pPr>
            <w:r w:rsidRPr="00B80875">
              <w:t xml:space="preserve">low </w:t>
            </w:r>
            <w:r w:rsidR="00762F67" w:rsidRPr="00B80875">
              <w:t>inflation (price stability)</w:t>
            </w:r>
          </w:p>
          <w:p w14:paraId="740006F5" w14:textId="5B59C6FF" w:rsidR="00762F67" w:rsidRPr="00B80875" w:rsidRDefault="007E49B9" w:rsidP="00C82AD1">
            <w:pPr>
              <w:pStyle w:val="ListBullet2"/>
            </w:pPr>
            <w:r w:rsidRPr="00B80875">
              <w:t xml:space="preserve">low </w:t>
            </w:r>
            <w:r w:rsidR="00762F67" w:rsidRPr="00B80875">
              <w:t>unemployment (full employment)</w:t>
            </w:r>
          </w:p>
          <w:p w14:paraId="1280CB63" w14:textId="4F3177E7" w:rsidR="00762F67" w:rsidRPr="00B80875" w:rsidRDefault="007E49B9" w:rsidP="00C82AD1">
            <w:pPr>
              <w:pStyle w:val="ListBullet2"/>
            </w:pPr>
            <w:r w:rsidRPr="00B80875">
              <w:t xml:space="preserve">a </w:t>
            </w:r>
            <w:r w:rsidR="00762F67" w:rsidRPr="00B80875">
              <w:t>more equitable distribution of income</w:t>
            </w:r>
          </w:p>
          <w:p w14:paraId="47156042" w14:textId="00F7A2D8" w:rsidR="00762F67" w:rsidRPr="00B80875" w:rsidRDefault="007E49B9" w:rsidP="00C82AD1">
            <w:pPr>
              <w:pStyle w:val="ListBullet2"/>
              <w:spacing w:after="0"/>
            </w:pPr>
            <w:r w:rsidRPr="00B80875">
              <w:t xml:space="preserve">the </w:t>
            </w:r>
            <w:r w:rsidR="00762F67" w:rsidRPr="00B80875">
              <w:t>efficient allocation of resources</w:t>
            </w:r>
          </w:p>
          <w:p w14:paraId="4FFAF3CC" w14:textId="5B93F109" w:rsidR="00762F67" w:rsidRPr="00B80875" w:rsidRDefault="00E603CF" w:rsidP="00C82AD1">
            <w:pPr>
              <w:pStyle w:val="ListBullet"/>
              <w:spacing w:after="0"/>
            </w:pPr>
            <w:r w:rsidRPr="00B80875">
              <w:t xml:space="preserve">the </w:t>
            </w:r>
            <w:r w:rsidR="00762F67" w:rsidRPr="00B80875">
              <w:t>economic policy objectives of the Reserve Bank of Australia (RBA)</w:t>
            </w:r>
          </w:p>
          <w:p w14:paraId="37E42AA8" w14:textId="1F2128F3" w:rsidR="00762F67" w:rsidRPr="00B80875" w:rsidRDefault="007E49B9" w:rsidP="00C82AD1">
            <w:pPr>
              <w:pStyle w:val="ListBullet2"/>
            </w:pPr>
            <w:r w:rsidRPr="00B80875">
              <w:t xml:space="preserve">price </w:t>
            </w:r>
            <w:r w:rsidR="00762F67" w:rsidRPr="00B80875">
              <w:t>stability</w:t>
            </w:r>
          </w:p>
          <w:p w14:paraId="0B636269" w14:textId="0D6EE5CB" w:rsidR="00762F67" w:rsidRPr="00B80875" w:rsidRDefault="007E49B9" w:rsidP="00C82AD1">
            <w:pPr>
              <w:pStyle w:val="ListBullet2"/>
            </w:pPr>
            <w:r w:rsidRPr="00B80875">
              <w:t xml:space="preserve">full </w:t>
            </w:r>
            <w:r w:rsidR="00762F67" w:rsidRPr="00B80875">
              <w:t>employment</w:t>
            </w:r>
          </w:p>
          <w:p w14:paraId="23ECDA2A" w14:textId="261D90A6" w:rsidR="00762F67" w:rsidRPr="00B80875" w:rsidRDefault="007E49B9" w:rsidP="00C82AD1">
            <w:pPr>
              <w:pStyle w:val="ListBullet2"/>
              <w:spacing w:after="0"/>
            </w:pPr>
            <w:r w:rsidRPr="00B80875">
              <w:t xml:space="preserve">economic </w:t>
            </w:r>
            <w:r w:rsidR="00762F67" w:rsidRPr="00B80875">
              <w:t>prosperity and welfare</w:t>
            </w:r>
          </w:p>
          <w:p w14:paraId="73D7A176" w14:textId="241F834A" w:rsidR="00196C46" w:rsidRPr="00B80875" w:rsidRDefault="00E603CF" w:rsidP="00C82AD1">
            <w:pPr>
              <w:pStyle w:val="ListBullet"/>
            </w:pPr>
            <w:r w:rsidRPr="00B80875">
              <w:t xml:space="preserve">the </w:t>
            </w:r>
            <w:r w:rsidR="00196C46" w:rsidRPr="00B80875">
              <w:t>extent to which policy objectives may conflict and complement one another</w:t>
            </w:r>
          </w:p>
          <w:p w14:paraId="18CB7D4F" w14:textId="33953E3D" w:rsidR="00DA2143" w:rsidRPr="00FC2EC2" w:rsidRDefault="00E603CF" w:rsidP="00C82AD1">
            <w:pPr>
              <w:pStyle w:val="ListBullet"/>
            </w:pPr>
            <w:r w:rsidRPr="00B80875">
              <w:t xml:space="preserve">the </w:t>
            </w:r>
            <w:r w:rsidR="00642F3E" w:rsidRPr="00B80875">
              <w:t>time lags which occur in the</w:t>
            </w:r>
            <w:r w:rsidR="004169B7" w:rsidRPr="00B80875">
              <w:t xml:space="preserve"> use of economic policies (data</w:t>
            </w:r>
            <w:r w:rsidR="00642F3E" w:rsidRPr="00B80875">
              <w:t xml:space="preserve">/recognition, </w:t>
            </w:r>
            <w:r w:rsidR="00196C46" w:rsidRPr="00B80875">
              <w:t>decision/implementation, effect/impact)</w:t>
            </w:r>
          </w:p>
          <w:p w14:paraId="2135A532" w14:textId="7D76DDBF" w:rsidR="00DA2143" w:rsidRPr="00FC2EC2" w:rsidRDefault="00F23289" w:rsidP="00967EF5">
            <w:pPr>
              <w:pStyle w:val="Tableheadings"/>
            </w:pPr>
            <w:r w:rsidRPr="002E5C45">
              <w:t>Ta</w:t>
            </w:r>
            <w:r>
              <w:t xml:space="preserve">sk </w:t>
            </w:r>
            <w:r w:rsidR="00DA2143">
              <w:t>7</w:t>
            </w:r>
            <w:r w:rsidR="00DA2143" w:rsidRPr="002E5C45">
              <w:t xml:space="preserve">: </w:t>
            </w:r>
            <w:r w:rsidR="00AA2307">
              <w:t xml:space="preserve">Extended </w:t>
            </w:r>
            <w:r>
              <w:t>a</w:t>
            </w:r>
            <w:r w:rsidR="00AA2307">
              <w:t>nswer</w:t>
            </w:r>
          </w:p>
        </w:tc>
      </w:tr>
      <w:tr w:rsidR="006A13C0" w:rsidRPr="00B80875" w14:paraId="45B99823" w14:textId="77777777" w:rsidTr="0017217F">
        <w:trPr>
          <w:gridBefore w:val="1"/>
          <w:wBefore w:w="10" w:type="dxa"/>
        </w:trPr>
        <w:tc>
          <w:tcPr>
            <w:tcW w:w="993" w:type="dxa"/>
            <w:gridSpan w:val="2"/>
            <w:tcBorders>
              <w:top w:val="single" w:sz="4" w:space="0" w:color="FFFFFF" w:themeColor="background1"/>
              <w:bottom w:val="single" w:sz="4" w:space="0" w:color="FFFFFF" w:themeColor="background1"/>
            </w:tcBorders>
            <w:shd w:val="clear" w:color="auto" w:fill="E4D8EB" w:themeFill="accent4" w:themeFillTint="66"/>
            <w:vAlign w:val="center"/>
          </w:tcPr>
          <w:p w14:paraId="3D0678D7" w14:textId="11E8E9A6" w:rsidR="006A13C0" w:rsidRPr="00B80875" w:rsidRDefault="00163F65" w:rsidP="007B25E1">
            <w:pPr>
              <w:jc w:val="center"/>
              <w:rPr>
                <w:rFonts w:asciiTheme="minorHAnsi" w:hAnsiTheme="minorHAnsi"/>
                <w:szCs w:val="20"/>
              </w:rPr>
            </w:pPr>
            <w:r w:rsidRPr="00B80875">
              <w:rPr>
                <w:rFonts w:asciiTheme="minorHAnsi" w:hAnsiTheme="minorHAnsi"/>
                <w:szCs w:val="20"/>
              </w:rPr>
              <w:t>7–</w:t>
            </w:r>
            <w:r w:rsidR="007B25E1" w:rsidRPr="00B80875">
              <w:rPr>
                <w:rFonts w:asciiTheme="minorHAnsi" w:hAnsiTheme="minorHAnsi"/>
                <w:szCs w:val="20"/>
              </w:rPr>
              <w:t>8</w:t>
            </w:r>
            <w:r w:rsidR="00435553" w:rsidRPr="00B80875">
              <w:rPr>
                <w:rFonts w:asciiTheme="minorHAnsi" w:hAnsiTheme="minorHAnsi"/>
                <w:szCs w:val="20"/>
              </w:rPr>
              <w:t xml:space="preserve"> </w:t>
            </w:r>
          </w:p>
        </w:tc>
        <w:tc>
          <w:tcPr>
            <w:tcW w:w="8319" w:type="dxa"/>
            <w:gridSpan w:val="2"/>
            <w:tcBorders>
              <w:right w:val="single" w:sz="4" w:space="0" w:color="D7C5E2" w:themeColor="accent4" w:themeTint="99"/>
            </w:tcBorders>
          </w:tcPr>
          <w:p w14:paraId="3C56AD2B" w14:textId="34F3B565" w:rsidR="006A13C0" w:rsidRPr="00B80875" w:rsidRDefault="004F28D3" w:rsidP="00967EF5">
            <w:pPr>
              <w:pStyle w:val="Tableheadings"/>
            </w:pPr>
            <w:r>
              <w:t xml:space="preserve">Economic </w:t>
            </w:r>
            <w:r w:rsidR="00F23289">
              <w:t>k</w:t>
            </w:r>
            <w:r>
              <w:t xml:space="preserve">nowledge and </w:t>
            </w:r>
            <w:r w:rsidR="00F23289">
              <w:t>u</w:t>
            </w:r>
            <w:r>
              <w:t>nderstanding</w:t>
            </w:r>
            <w:r w:rsidR="00A24FEA">
              <w:t xml:space="preserve">: </w:t>
            </w:r>
            <w:r w:rsidR="00435553" w:rsidRPr="00B80875">
              <w:t>Fiscal policy</w:t>
            </w:r>
          </w:p>
          <w:p w14:paraId="643E1506" w14:textId="19D693C8" w:rsidR="006A13C0" w:rsidRPr="00B80875" w:rsidRDefault="00E603CF" w:rsidP="003C193C">
            <w:pPr>
              <w:pStyle w:val="ListBullet"/>
            </w:pPr>
            <w:r w:rsidRPr="00B80875">
              <w:t xml:space="preserve">the </w:t>
            </w:r>
            <w:r w:rsidR="001C786B" w:rsidRPr="00B80875">
              <w:t>concept of fiscal policy and the government’</w:t>
            </w:r>
            <w:r w:rsidR="00615918" w:rsidRPr="00B80875">
              <w:t>s budget</w:t>
            </w:r>
          </w:p>
          <w:p w14:paraId="3CB96F2E" w14:textId="70C68EE6" w:rsidR="00F14346" w:rsidRPr="00B80875" w:rsidRDefault="00E603CF" w:rsidP="003C193C">
            <w:pPr>
              <w:pStyle w:val="ListBullet"/>
            </w:pPr>
            <w:r w:rsidRPr="00B80875">
              <w:t xml:space="preserve">the </w:t>
            </w:r>
            <w:r w:rsidR="00237BE6" w:rsidRPr="00B80875">
              <w:t>components of government revenue and expenditure in the budget</w:t>
            </w:r>
          </w:p>
          <w:p w14:paraId="2BD67564" w14:textId="14305C13" w:rsidR="00237BE6" w:rsidRPr="00B80875" w:rsidRDefault="00E603CF" w:rsidP="003C193C">
            <w:pPr>
              <w:pStyle w:val="ListBullet"/>
            </w:pPr>
            <w:r w:rsidRPr="00B80875">
              <w:t xml:space="preserve">the </w:t>
            </w:r>
            <w:r w:rsidR="00237BE6" w:rsidRPr="00B80875">
              <w:t>distinction between a surplus, deficit and balanced budget</w:t>
            </w:r>
          </w:p>
          <w:p w14:paraId="1510D519" w14:textId="3DCFCE8A" w:rsidR="00237BE6" w:rsidRPr="00B80875" w:rsidRDefault="00E603CF" w:rsidP="003C193C">
            <w:pPr>
              <w:pStyle w:val="ListBullet"/>
            </w:pPr>
            <w:r w:rsidRPr="00B80875">
              <w:t xml:space="preserve">the </w:t>
            </w:r>
            <w:r w:rsidR="00615918" w:rsidRPr="00B80875">
              <w:t>distinction between the planned and actual budget outcomes</w:t>
            </w:r>
          </w:p>
          <w:p w14:paraId="31583CB3" w14:textId="60E4046F" w:rsidR="00615918" w:rsidRPr="00B80875" w:rsidRDefault="00E603CF" w:rsidP="003C193C">
            <w:pPr>
              <w:pStyle w:val="ListBullet"/>
            </w:pPr>
            <w:r w:rsidRPr="00B80875">
              <w:t xml:space="preserve">the </w:t>
            </w:r>
            <w:r w:rsidR="00AC44D0" w:rsidRPr="00B80875">
              <w:t>distinction between automatic fiscal stabilisers and discretionary fiscal policy</w:t>
            </w:r>
          </w:p>
          <w:p w14:paraId="6B00C2B0" w14:textId="71B6D8B6" w:rsidR="00AC44D0" w:rsidRPr="00B80875" w:rsidRDefault="00E603CF" w:rsidP="003C193C">
            <w:pPr>
              <w:pStyle w:val="ListBullet"/>
            </w:pPr>
            <w:r w:rsidRPr="00B80875">
              <w:t xml:space="preserve">the </w:t>
            </w:r>
            <w:r w:rsidR="00AC44D0" w:rsidRPr="00B80875">
              <w:t>distinction between budget outcomes associated with automatic fiscal stabilisers and budget outcomes associated with discretionary fiscal policy</w:t>
            </w:r>
          </w:p>
          <w:p w14:paraId="140ECFD6" w14:textId="340AFD96" w:rsidR="00887C08" w:rsidRPr="00B80875" w:rsidRDefault="00E603CF" w:rsidP="003C193C">
            <w:pPr>
              <w:pStyle w:val="ListBullet"/>
            </w:pPr>
            <w:r w:rsidRPr="00B80875">
              <w:t xml:space="preserve">methods </w:t>
            </w:r>
            <w:r w:rsidR="00887C08" w:rsidRPr="00B80875">
              <w:t>of financing a budget deficit and the uses of a budget surplus</w:t>
            </w:r>
          </w:p>
          <w:p w14:paraId="74010043" w14:textId="0CE5BB75" w:rsidR="00B83D91" w:rsidRPr="00B80875" w:rsidRDefault="00E603CF" w:rsidP="003C193C">
            <w:pPr>
              <w:pStyle w:val="ListBullet"/>
            </w:pPr>
            <w:r w:rsidRPr="00B80875">
              <w:t xml:space="preserve">the </w:t>
            </w:r>
            <w:r w:rsidR="00B83D91" w:rsidRPr="00B80875">
              <w:t>link between a budget deficit and government debt</w:t>
            </w:r>
          </w:p>
          <w:p w14:paraId="0624BB8F" w14:textId="1B4F705C" w:rsidR="00887C08" w:rsidRPr="00B80875" w:rsidRDefault="00E603CF" w:rsidP="003C193C">
            <w:pPr>
              <w:pStyle w:val="ListBullet"/>
            </w:pPr>
            <w:r w:rsidRPr="00B80875">
              <w:rPr>
                <w:rFonts w:ascii="Calibri" w:eastAsiaTheme="minorHAnsi" w:hAnsi="Calibri" w:cs="Calibri"/>
              </w:rPr>
              <w:t xml:space="preserve">the </w:t>
            </w:r>
            <w:r w:rsidR="00887C08" w:rsidRPr="00B80875">
              <w:rPr>
                <w:rFonts w:ascii="Calibri" w:eastAsiaTheme="minorHAnsi" w:hAnsi="Calibri" w:cs="Calibri"/>
              </w:rPr>
              <w:t>distinction between expansionary, contractionary and neutral fiscal policy stances</w:t>
            </w:r>
          </w:p>
          <w:p w14:paraId="4765AB3E" w14:textId="622B0BE7" w:rsidR="00887C08" w:rsidRPr="00B80875" w:rsidRDefault="00E603CF" w:rsidP="003C193C">
            <w:pPr>
              <w:pStyle w:val="ListBullet"/>
            </w:pPr>
            <w:r w:rsidRPr="00B80875">
              <w:t xml:space="preserve">the </w:t>
            </w:r>
            <w:r w:rsidR="00E33F27" w:rsidRPr="00B80875">
              <w:t>impact of different fiscal policy stances on the level of economic activity</w:t>
            </w:r>
          </w:p>
          <w:p w14:paraId="1E03D52D" w14:textId="5BB0E3B6" w:rsidR="00E33F27" w:rsidRPr="00B80875" w:rsidRDefault="00E603CF" w:rsidP="003C193C">
            <w:pPr>
              <w:pStyle w:val="ListBullet"/>
            </w:pPr>
            <w:r w:rsidRPr="00B80875">
              <w:t xml:space="preserve">fiscal </w:t>
            </w:r>
            <w:r w:rsidR="00E33F27" w:rsidRPr="00B80875">
              <w:t>policy and the multiplier effect</w:t>
            </w:r>
          </w:p>
          <w:p w14:paraId="0F5F511F" w14:textId="0DB45C58" w:rsidR="009F72FC" w:rsidRPr="00B80875" w:rsidRDefault="00E603CF" w:rsidP="003C193C">
            <w:pPr>
              <w:pStyle w:val="ListBullet"/>
            </w:pPr>
            <w:r w:rsidRPr="00B80875">
              <w:t xml:space="preserve">the </w:t>
            </w:r>
            <w:r w:rsidR="00E33F27" w:rsidRPr="00B80875">
              <w:t xml:space="preserve">effect of fiscal policy </w:t>
            </w:r>
            <w:r w:rsidR="009F72FC" w:rsidRPr="00B80875">
              <w:t>on the aggregate demand (AD) curve</w:t>
            </w:r>
          </w:p>
          <w:p w14:paraId="34123B80" w14:textId="32C1D0A9" w:rsidR="009F72FC" w:rsidRPr="00B80875" w:rsidRDefault="00E603CF" w:rsidP="003C193C">
            <w:pPr>
              <w:pStyle w:val="ListBullet"/>
            </w:pPr>
            <w:r w:rsidRPr="00B80875">
              <w:t xml:space="preserve">the </w:t>
            </w:r>
            <w:r w:rsidR="009F72FC" w:rsidRPr="00B80875">
              <w:t xml:space="preserve">effect of fiscal policy on </w:t>
            </w:r>
            <w:r w:rsidR="00AA5E9A">
              <w:t>the aggregate supply (AS) curve</w:t>
            </w:r>
          </w:p>
          <w:p w14:paraId="20104C27" w14:textId="5C54D229" w:rsidR="00D610BC" w:rsidRPr="00B80875" w:rsidRDefault="00E603CF" w:rsidP="003C193C">
            <w:pPr>
              <w:pStyle w:val="ListBullet"/>
            </w:pPr>
            <w:r w:rsidRPr="00B80875">
              <w:t xml:space="preserve">the </w:t>
            </w:r>
            <w:r w:rsidR="00D610BC" w:rsidRPr="00B80875">
              <w:t>time lags of fiscal policy</w:t>
            </w:r>
          </w:p>
          <w:p w14:paraId="360F9FEF" w14:textId="40E982A3" w:rsidR="00E33F27" w:rsidRPr="00B80875" w:rsidRDefault="00E603CF" w:rsidP="003C193C">
            <w:pPr>
              <w:pStyle w:val="ListBullet"/>
            </w:pPr>
            <w:r w:rsidRPr="00B80875">
              <w:t xml:space="preserve">strengths </w:t>
            </w:r>
            <w:r w:rsidR="00E33F27" w:rsidRPr="00B80875">
              <w:t xml:space="preserve">and weaknesses of fiscal policy </w:t>
            </w:r>
          </w:p>
          <w:p w14:paraId="30EB160C" w14:textId="277DDBE3" w:rsidR="005C2FB1" w:rsidRPr="009D5614" w:rsidRDefault="00E603CF" w:rsidP="00A01FF8">
            <w:pPr>
              <w:pStyle w:val="ListBullet"/>
              <w:spacing w:after="0"/>
            </w:pPr>
            <w:r w:rsidRPr="00B80875">
              <w:t xml:space="preserve">contemporary </w:t>
            </w:r>
            <w:r w:rsidR="00E33F27" w:rsidRPr="00B80875">
              <w:t>(the last three years) fi</w:t>
            </w:r>
            <w:r w:rsidR="00163F65" w:rsidRPr="00B80875">
              <w:t>scal policy stances in Australia</w:t>
            </w:r>
          </w:p>
        </w:tc>
      </w:tr>
      <w:tr w:rsidR="006A13C0" w:rsidRPr="00B80875" w14:paraId="44285848" w14:textId="77777777" w:rsidTr="0017217F">
        <w:trPr>
          <w:gridBefore w:val="1"/>
          <w:wBefore w:w="10" w:type="dxa"/>
        </w:trPr>
        <w:tc>
          <w:tcPr>
            <w:tcW w:w="993" w:type="dxa"/>
            <w:gridSpan w:val="2"/>
            <w:tcBorders>
              <w:top w:val="single" w:sz="4" w:space="0" w:color="FFFFFF" w:themeColor="background1"/>
              <w:bottom w:val="nil"/>
            </w:tcBorders>
            <w:shd w:val="clear" w:color="auto" w:fill="E4D8EB" w:themeFill="accent4" w:themeFillTint="66"/>
            <w:vAlign w:val="center"/>
            <w:hideMark/>
          </w:tcPr>
          <w:p w14:paraId="7C0E3F04" w14:textId="54B85EDF" w:rsidR="006A13C0" w:rsidRPr="00B80875" w:rsidRDefault="00163F65" w:rsidP="007B25E1">
            <w:pPr>
              <w:jc w:val="center"/>
              <w:rPr>
                <w:rFonts w:asciiTheme="minorHAnsi" w:hAnsiTheme="minorHAnsi"/>
                <w:szCs w:val="20"/>
              </w:rPr>
            </w:pPr>
            <w:r w:rsidRPr="00B80875">
              <w:rPr>
                <w:rFonts w:asciiTheme="minorHAnsi" w:hAnsiTheme="minorHAnsi"/>
                <w:szCs w:val="20"/>
              </w:rPr>
              <w:t>9–</w:t>
            </w:r>
            <w:r w:rsidR="007B25E1" w:rsidRPr="00B80875">
              <w:rPr>
                <w:rFonts w:asciiTheme="minorHAnsi" w:hAnsiTheme="minorHAnsi"/>
                <w:szCs w:val="20"/>
              </w:rPr>
              <w:t>10</w:t>
            </w:r>
          </w:p>
        </w:tc>
        <w:tc>
          <w:tcPr>
            <w:tcW w:w="8319" w:type="dxa"/>
            <w:gridSpan w:val="2"/>
            <w:tcBorders>
              <w:right w:val="single" w:sz="4" w:space="0" w:color="D7C5E2" w:themeColor="accent4" w:themeTint="99"/>
            </w:tcBorders>
          </w:tcPr>
          <w:p w14:paraId="41091DC8" w14:textId="3953BFBA" w:rsidR="005C2FB1" w:rsidRDefault="00AA09C1" w:rsidP="009D5614">
            <w:pPr>
              <w:pStyle w:val="Tableheadings"/>
            </w:pPr>
            <w:r w:rsidRPr="002E5C45">
              <w:t>Ta</w:t>
            </w:r>
            <w:r>
              <w:t xml:space="preserve">sk </w:t>
            </w:r>
            <w:r w:rsidR="005C2FB1">
              <w:t>8</w:t>
            </w:r>
            <w:r w:rsidR="005C2FB1" w:rsidRPr="002E5C45">
              <w:t xml:space="preserve">: </w:t>
            </w:r>
            <w:r w:rsidR="00AA2307">
              <w:t xml:space="preserve">Extended </w:t>
            </w:r>
            <w:r w:rsidR="00F23289">
              <w:t>a</w:t>
            </w:r>
            <w:r w:rsidR="00AA2307">
              <w:t xml:space="preserve">nswer </w:t>
            </w:r>
            <w:r w:rsidR="005C2FB1">
              <w:t>(Weeks 8</w:t>
            </w:r>
            <w:r>
              <w:t>–</w:t>
            </w:r>
            <w:r w:rsidR="005C2FB1">
              <w:t>10)</w:t>
            </w:r>
            <w:r w:rsidR="00EC473D">
              <w:t xml:space="preserve"> </w:t>
            </w:r>
          </w:p>
          <w:p w14:paraId="6DE76848" w14:textId="267E18B1" w:rsidR="005C2FB1" w:rsidRPr="00FC2EC2" w:rsidRDefault="004B56D4" w:rsidP="009D5614">
            <w:pPr>
              <w:pStyle w:val="Tableheadings"/>
              <w:rPr>
                <w:rFonts w:ascii="Calibri" w:eastAsiaTheme="minorEastAsia" w:hAnsi="Calibri" w:cstheme="minorBidi"/>
              </w:rPr>
            </w:pPr>
            <w:r w:rsidRPr="004B56D4">
              <w:rPr>
                <w:rFonts w:ascii="Calibri" w:eastAsiaTheme="minorEastAsia" w:hAnsi="Calibri" w:cstheme="minorBidi"/>
              </w:rPr>
              <w:t xml:space="preserve">Economic </w:t>
            </w:r>
            <w:r w:rsidR="00DD40FA" w:rsidRPr="004B56D4">
              <w:rPr>
                <w:rFonts w:ascii="Calibri" w:eastAsiaTheme="minorEastAsia" w:hAnsi="Calibri" w:cstheme="minorBidi"/>
              </w:rPr>
              <w:t>s</w:t>
            </w:r>
            <w:r w:rsidRPr="004B56D4">
              <w:rPr>
                <w:rFonts w:ascii="Calibri" w:eastAsiaTheme="minorEastAsia" w:hAnsi="Calibri" w:cstheme="minorBidi"/>
              </w:rPr>
              <w:t>kills:</w:t>
            </w:r>
            <w:r>
              <w:rPr>
                <w:rFonts w:ascii="Calibri" w:eastAsiaTheme="minorEastAsia" w:hAnsi="Calibri" w:cstheme="minorBidi"/>
              </w:rPr>
              <w:t xml:space="preserve"> </w:t>
            </w:r>
            <w:r w:rsidR="005C2FB1" w:rsidRPr="00FC2EC2">
              <w:rPr>
                <w:rFonts w:ascii="Calibri" w:eastAsiaTheme="minorEastAsia" w:hAnsi="Calibri" w:cstheme="minorBidi"/>
              </w:rPr>
              <w:t>Economic research</w:t>
            </w:r>
          </w:p>
          <w:p w14:paraId="619875CF" w14:textId="77777777" w:rsidR="005C2FB1" w:rsidRPr="003C193C" w:rsidRDefault="005C2FB1" w:rsidP="003C193C">
            <w:pPr>
              <w:pStyle w:val="ListBullet"/>
            </w:pPr>
            <w:r w:rsidRPr="003C193C">
              <w:t>identify research questions to investigate</w:t>
            </w:r>
          </w:p>
          <w:p w14:paraId="30EC7685" w14:textId="77777777" w:rsidR="005C2FB1" w:rsidRPr="003C193C" w:rsidRDefault="005C2FB1" w:rsidP="003C193C">
            <w:pPr>
              <w:pStyle w:val="ListBullet"/>
            </w:pPr>
            <w:r w:rsidRPr="003C193C">
              <w:t>select appropriate print and electronic media sources of economic information and data on Australia’s economic policy and management</w:t>
            </w:r>
          </w:p>
          <w:p w14:paraId="7A8B8A81" w14:textId="77777777" w:rsidR="005C2FB1" w:rsidRPr="003C193C" w:rsidRDefault="005C2FB1" w:rsidP="003C193C">
            <w:pPr>
              <w:pStyle w:val="ListBullet"/>
            </w:pPr>
            <w:r w:rsidRPr="003C193C">
              <w:t>apply appropriate methods of recording and organising macroeconomic information, including spreadsheets, graphs and tables</w:t>
            </w:r>
          </w:p>
          <w:p w14:paraId="564D6DEC" w14:textId="79D3EC31" w:rsidR="005C2FB1" w:rsidRPr="003C193C" w:rsidRDefault="005C2FB1" w:rsidP="003C193C">
            <w:pPr>
              <w:pStyle w:val="ListBullet"/>
            </w:pPr>
            <w:r w:rsidRPr="003C193C">
              <w:t>apply problem-solving, critical thinking and decision-making strategies to achieve outcomes which may be predictable and contestable by nature</w:t>
            </w:r>
          </w:p>
          <w:p w14:paraId="70DB2198" w14:textId="231451EA" w:rsidR="005C2FB1" w:rsidRPr="00FC2EC2" w:rsidRDefault="00AA2307" w:rsidP="009D5614">
            <w:pPr>
              <w:pStyle w:val="Tableheadings"/>
              <w:rPr>
                <w:rFonts w:eastAsiaTheme="minorEastAsia"/>
              </w:rPr>
            </w:pPr>
            <w:r>
              <w:rPr>
                <w:rFonts w:eastAsiaTheme="minorEastAsia"/>
              </w:rPr>
              <w:t xml:space="preserve">Economic </w:t>
            </w:r>
            <w:r w:rsidR="00DD40FA">
              <w:rPr>
                <w:rFonts w:eastAsiaTheme="minorEastAsia"/>
              </w:rPr>
              <w:t>s</w:t>
            </w:r>
            <w:r>
              <w:rPr>
                <w:rFonts w:eastAsiaTheme="minorEastAsia"/>
              </w:rPr>
              <w:t xml:space="preserve">kills: </w:t>
            </w:r>
            <w:r w:rsidR="005C2FB1" w:rsidRPr="00FC2EC2">
              <w:rPr>
                <w:rFonts w:eastAsiaTheme="minorEastAsia"/>
              </w:rPr>
              <w:t>Reasoning, interpretation and analysis</w:t>
            </w:r>
          </w:p>
          <w:p w14:paraId="21A4BA3C" w14:textId="77777777" w:rsidR="005C2FB1" w:rsidRPr="003C193C" w:rsidRDefault="005C2FB1" w:rsidP="003C193C">
            <w:pPr>
              <w:pStyle w:val="ListBullet"/>
            </w:pPr>
            <w:r w:rsidRPr="003C193C">
              <w:t>identify and organise relevant information within sources</w:t>
            </w:r>
          </w:p>
          <w:p w14:paraId="47894692" w14:textId="77777777" w:rsidR="005C2FB1" w:rsidRPr="003C193C" w:rsidRDefault="005C2FB1" w:rsidP="003C193C">
            <w:pPr>
              <w:pStyle w:val="ListBullet"/>
            </w:pPr>
            <w:r w:rsidRPr="003C193C">
              <w:t>identify trends and relationships in economic information and data regarding Australia’s economic policy and management</w:t>
            </w:r>
          </w:p>
          <w:p w14:paraId="5DCFB124" w14:textId="77777777" w:rsidR="00A24FEA" w:rsidRPr="003C193C" w:rsidRDefault="005C2FB1" w:rsidP="003C193C">
            <w:pPr>
              <w:pStyle w:val="ListBullet"/>
            </w:pPr>
            <w:r w:rsidRPr="003C193C">
              <w:t>use economic information and data to make predictions on Australia’s economic policy and management</w:t>
            </w:r>
          </w:p>
          <w:p w14:paraId="52190AF0" w14:textId="1F4FD905" w:rsidR="005C2FB1" w:rsidRPr="003C193C" w:rsidRDefault="00A24FEA" w:rsidP="003C193C">
            <w:pPr>
              <w:pStyle w:val="ListBullet"/>
            </w:pPr>
            <w:r w:rsidRPr="003C193C">
              <w:t>i</w:t>
            </w:r>
            <w:r w:rsidR="005C2FB1" w:rsidRPr="003C193C">
              <w:t>nterpret changes in economic data, including prices, unemployment, economic growth, the labour force and productivity</w:t>
            </w:r>
          </w:p>
          <w:p w14:paraId="55455900" w14:textId="0F2E8C76" w:rsidR="00A24FEA" w:rsidRPr="00DD40FA" w:rsidRDefault="00AA2307" w:rsidP="00DD40FA">
            <w:pPr>
              <w:pStyle w:val="Tableheadings"/>
              <w:rPr>
                <w:rFonts w:eastAsiaTheme="minorEastAsia"/>
              </w:rPr>
            </w:pPr>
            <w:r w:rsidRPr="00DD40FA">
              <w:rPr>
                <w:rFonts w:eastAsiaTheme="minorEastAsia"/>
              </w:rPr>
              <w:t xml:space="preserve">Economic </w:t>
            </w:r>
            <w:r w:rsidR="00DD40FA" w:rsidRPr="00DD40FA">
              <w:rPr>
                <w:rFonts w:eastAsiaTheme="minorEastAsia"/>
              </w:rPr>
              <w:t>s</w:t>
            </w:r>
            <w:r w:rsidRPr="00DD40FA">
              <w:rPr>
                <w:rFonts w:eastAsiaTheme="minorEastAsia"/>
              </w:rPr>
              <w:t xml:space="preserve">kills: </w:t>
            </w:r>
            <w:r w:rsidR="00A24FEA" w:rsidRPr="00DD40FA">
              <w:rPr>
                <w:rFonts w:eastAsiaTheme="minorEastAsia"/>
              </w:rPr>
              <w:t>Communication</w:t>
            </w:r>
          </w:p>
          <w:p w14:paraId="044168DC" w14:textId="3022C4C2" w:rsidR="00A24FEA" w:rsidRPr="003C193C" w:rsidRDefault="00DD40FA" w:rsidP="003C193C">
            <w:pPr>
              <w:pStyle w:val="ListBullet"/>
            </w:pPr>
            <w:r>
              <w:t>r</w:t>
            </w:r>
            <w:r w:rsidR="00A24FEA" w:rsidRPr="003C193C">
              <w:t>eflect on the investigation process</w:t>
            </w:r>
          </w:p>
          <w:p w14:paraId="49948785" w14:textId="0CB70EC7" w:rsidR="006A13C0" w:rsidRPr="00B80875" w:rsidRDefault="004F28D3" w:rsidP="009D5614">
            <w:pPr>
              <w:pStyle w:val="Tableheadings"/>
            </w:pPr>
            <w:r>
              <w:t xml:space="preserve">Economic </w:t>
            </w:r>
            <w:r w:rsidR="00DD40FA">
              <w:t>k</w:t>
            </w:r>
            <w:r>
              <w:t xml:space="preserve">nowledge and </w:t>
            </w:r>
            <w:r w:rsidR="00DD40FA">
              <w:t>u</w:t>
            </w:r>
            <w:r>
              <w:t>nderstanding</w:t>
            </w:r>
            <w:r w:rsidR="00AA2307">
              <w:t xml:space="preserve">: </w:t>
            </w:r>
            <w:r w:rsidR="00435553" w:rsidRPr="00B80875">
              <w:t>Monetary policy</w:t>
            </w:r>
          </w:p>
          <w:p w14:paraId="621FD7F3" w14:textId="3BEB5490" w:rsidR="006A13C0" w:rsidRPr="00B80875" w:rsidRDefault="00AA09C1" w:rsidP="003C193C">
            <w:pPr>
              <w:pStyle w:val="ListBullet"/>
            </w:pPr>
            <w:r w:rsidRPr="00B80875">
              <w:t xml:space="preserve">the </w:t>
            </w:r>
            <w:r w:rsidR="009F72FC" w:rsidRPr="00B80875">
              <w:t>concepts of monetary policy and the cash rate</w:t>
            </w:r>
          </w:p>
          <w:p w14:paraId="08E2C189" w14:textId="151E6666" w:rsidR="009F72FC" w:rsidRPr="00B80875" w:rsidRDefault="00AA09C1" w:rsidP="003C193C">
            <w:pPr>
              <w:pStyle w:val="ListBullet"/>
            </w:pPr>
            <w:r w:rsidRPr="00B80875">
              <w:t xml:space="preserve">the </w:t>
            </w:r>
            <w:r w:rsidR="009F72FC" w:rsidRPr="00B80875">
              <w:t>Reserve Bank of Australia’s (RBA) inflation target</w:t>
            </w:r>
          </w:p>
          <w:p w14:paraId="130D5FF1" w14:textId="1EC5484D" w:rsidR="009F72FC" w:rsidRPr="00B80875" w:rsidRDefault="00AA09C1" w:rsidP="003C193C">
            <w:pPr>
              <w:pStyle w:val="ListBullet"/>
            </w:pPr>
            <w:r w:rsidRPr="00B80875">
              <w:t xml:space="preserve">the </w:t>
            </w:r>
            <w:r w:rsidR="009F72FC" w:rsidRPr="00B80875">
              <w:t>transmission mechanism of monetary policy</w:t>
            </w:r>
          </w:p>
          <w:p w14:paraId="21431218" w14:textId="6023948A" w:rsidR="00B83D91" w:rsidRPr="00B80875" w:rsidRDefault="00AA09C1" w:rsidP="003C193C">
            <w:pPr>
              <w:pStyle w:val="ListBullet"/>
            </w:pPr>
            <w:r w:rsidRPr="00B80875">
              <w:t xml:space="preserve">the </w:t>
            </w:r>
            <w:r w:rsidR="00B83D91" w:rsidRPr="00B80875">
              <w:t>link between interest rates and aggregate expenditure</w:t>
            </w:r>
          </w:p>
          <w:p w14:paraId="78A807E6" w14:textId="36A0169E" w:rsidR="009F72FC" w:rsidRPr="00B80875" w:rsidRDefault="00AA09C1" w:rsidP="003C193C">
            <w:pPr>
              <w:pStyle w:val="ListBullet"/>
            </w:pPr>
            <w:r w:rsidRPr="00B80875">
              <w:t xml:space="preserve">the </w:t>
            </w:r>
            <w:r w:rsidR="009F72FC" w:rsidRPr="00B80875">
              <w:t>link between interest rates and the exchange rate</w:t>
            </w:r>
          </w:p>
          <w:p w14:paraId="424F5026" w14:textId="3D89566F" w:rsidR="009F72FC" w:rsidRPr="00B80875" w:rsidRDefault="00AA09C1" w:rsidP="003C193C">
            <w:pPr>
              <w:pStyle w:val="ListBullet"/>
            </w:pPr>
            <w:r w:rsidRPr="00B80875">
              <w:t xml:space="preserve">the </w:t>
            </w:r>
            <w:r w:rsidR="009F72FC" w:rsidRPr="00B80875">
              <w:t>effect of monetary policy on the aggregate demand (AD) curve</w:t>
            </w:r>
          </w:p>
          <w:p w14:paraId="2BC06797" w14:textId="64C8148B" w:rsidR="00B83D91" w:rsidRPr="00B80875" w:rsidRDefault="00AA09C1" w:rsidP="003C193C">
            <w:pPr>
              <w:pStyle w:val="ListBullet"/>
            </w:pPr>
            <w:r w:rsidRPr="00B80875">
              <w:t xml:space="preserve">the </w:t>
            </w:r>
            <w:r w:rsidR="00B83D91" w:rsidRPr="00B80875">
              <w:t>concepts of expansionary, contractionary and neutral monetary policy stances</w:t>
            </w:r>
          </w:p>
          <w:p w14:paraId="01295D52" w14:textId="5C895FF9" w:rsidR="00B83D91" w:rsidRPr="00B80875" w:rsidRDefault="00AA09C1" w:rsidP="003C193C">
            <w:pPr>
              <w:pStyle w:val="ListBullet"/>
            </w:pPr>
            <w:r w:rsidRPr="00B80875">
              <w:t xml:space="preserve">circumstances </w:t>
            </w:r>
            <w:r w:rsidR="00B83D91" w:rsidRPr="00B80875">
              <w:t>under which the RBA may change the cash rate</w:t>
            </w:r>
          </w:p>
          <w:p w14:paraId="3AA90413" w14:textId="77467050" w:rsidR="00B83D91" w:rsidRPr="00B80875" w:rsidRDefault="00AA09C1" w:rsidP="003C193C">
            <w:pPr>
              <w:pStyle w:val="ListBullet"/>
            </w:pPr>
            <w:r w:rsidRPr="00B80875">
              <w:t xml:space="preserve">the </w:t>
            </w:r>
            <w:r w:rsidR="00B83D91" w:rsidRPr="00B80875">
              <w:t>impact of different monetary policy stances on the level of economic activity</w:t>
            </w:r>
          </w:p>
          <w:p w14:paraId="04CB51D2" w14:textId="0B33F14B" w:rsidR="00D610BC" w:rsidRPr="00B80875" w:rsidRDefault="00AA09C1" w:rsidP="003C193C">
            <w:pPr>
              <w:pStyle w:val="ListBullet"/>
            </w:pPr>
            <w:r w:rsidRPr="00B80875">
              <w:t xml:space="preserve">the </w:t>
            </w:r>
            <w:r w:rsidR="00D610BC" w:rsidRPr="00B80875">
              <w:t>time lags of monetary policy</w:t>
            </w:r>
          </w:p>
          <w:p w14:paraId="010E185C" w14:textId="3AA3CAB4" w:rsidR="00B83D91" w:rsidRPr="00B80875" w:rsidRDefault="00AA09C1" w:rsidP="003C193C">
            <w:pPr>
              <w:pStyle w:val="ListBullet"/>
            </w:pPr>
            <w:r w:rsidRPr="00B80875">
              <w:t xml:space="preserve">strengths </w:t>
            </w:r>
            <w:r w:rsidR="00B83D91" w:rsidRPr="00B80875">
              <w:t>and weaknesses of monetary policy</w:t>
            </w:r>
          </w:p>
          <w:p w14:paraId="7AAC6EEC" w14:textId="2CEDE0D9" w:rsidR="006A13C0" w:rsidRPr="00B80875" w:rsidRDefault="00AA09C1" w:rsidP="00A01FF8">
            <w:pPr>
              <w:pStyle w:val="ListBullet"/>
              <w:spacing w:after="0"/>
            </w:pPr>
            <w:r w:rsidRPr="00B80875">
              <w:t xml:space="preserve">contemporary </w:t>
            </w:r>
            <w:r w:rsidR="00B83D91" w:rsidRPr="00B80875">
              <w:t>(the last three years) monetary policy stances in Australia</w:t>
            </w:r>
          </w:p>
        </w:tc>
      </w:tr>
      <w:tr w:rsidR="006A13C0" w:rsidRPr="00B80875" w14:paraId="7F44CA00" w14:textId="77777777" w:rsidTr="0017217F">
        <w:trPr>
          <w:gridAfter w:val="1"/>
          <w:wAfter w:w="10" w:type="dxa"/>
        </w:trPr>
        <w:tc>
          <w:tcPr>
            <w:tcW w:w="993" w:type="dxa"/>
            <w:gridSpan w:val="2"/>
            <w:tcBorders>
              <w:top w:val="single" w:sz="4" w:space="0" w:color="FFFFFF" w:themeColor="background1"/>
              <w:bottom w:val="single" w:sz="4" w:space="0" w:color="FFFFFF" w:themeColor="background1"/>
            </w:tcBorders>
            <w:shd w:val="clear" w:color="auto" w:fill="E4D8EB" w:themeFill="accent4" w:themeFillTint="66"/>
            <w:vAlign w:val="center"/>
            <w:hideMark/>
          </w:tcPr>
          <w:p w14:paraId="5ACFA86F" w14:textId="0692A147" w:rsidR="006A13C0" w:rsidRPr="00B80875" w:rsidRDefault="007B25E1" w:rsidP="0047621D">
            <w:pPr>
              <w:jc w:val="center"/>
              <w:rPr>
                <w:rFonts w:asciiTheme="minorHAnsi" w:hAnsiTheme="minorHAnsi"/>
                <w:szCs w:val="20"/>
              </w:rPr>
            </w:pPr>
            <w:r w:rsidRPr="00B80875">
              <w:rPr>
                <w:rFonts w:asciiTheme="minorHAnsi" w:hAnsiTheme="minorHAnsi"/>
                <w:szCs w:val="20"/>
              </w:rPr>
              <w:t>11</w:t>
            </w:r>
          </w:p>
        </w:tc>
        <w:tc>
          <w:tcPr>
            <w:tcW w:w="8319" w:type="dxa"/>
            <w:gridSpan w:val="2"/>
            <w:tcBorders>
              <w:right w:val="single" w:sz="4" w:space="0" w:color="D7C5E2" w:themeColor="accent4" w:themeTint="99"/>
            </w:tcBorders>
          </w:tcPr>
          <w:p w14:paraId="26B3B991" w14:textId="15C59DE6" w:rsidR="004B56D4" w:rsidRPr="00FC2EC2" w:rsidRDefault="004B56D4" w:rsidP="009D5614">
            <w:pPr>
              <w:pStyle w:val="Tableheadings"/>
              <w:rPr>
                <w:rFonts w:eastAsiaTheme="minorEastAsia"/>
              </w:rPr>
            </w:pPr>
            <w:r w:rsidRPr="004B56D4">
              <w:rPr>
                <w:rFonts w:eastAsiaTheme="minorEastAsia"/>
              </w:rPr>
              <w:t xml:space="preserve">Economic </w:t>
            </w:r>
            <w:r w:rsidR="00DD40FA" w:rsidRPr="004B56D4">
              <w:rPr>
                <w:rFonts w:eastAsiaTheme="minorEastAsia"/>
              </w:rPr>
              <w:t>s</w:t>
            </w:r>
            <w:r w:rsidRPr="004B56D4">
              <w:rPr>
                <w:rFonts w:eastAsiaTheme="minorEastAsia"/>
              </w:rPr>
              <w:t>kills:</w:t>
            </w:r>
            <w:r>
              <w:rPr>
                <w:rFonts w:eastAsiaTheme="minorEastAsia"/>
              </w:rPr>
              <w:t xml:space="preserve"> </w:t>
            </w:r>
            <w:r w:rsidRPr="00FC2EC2">
              <w:rPr>
                <w:rFonts w:eastAsiaTheme="minorEastAsia"/>
              </w:rPr>
              <w:t>Communication</w:t>
            </w:r>
          </w:p>
          <w:p w14:paraId="57E2B6EE" w14:textId="77777777" w:rsidR="004B56D4" w:rsidRPr="003C193C" w:rsidRDefault="004B56D4" w:rsidP="003C193C">
            <w:pPr>
              <w:pStyle w:val="ListBullet"/>
            </w:pPr>
            <w:r w:rsidRPr="003C193C">
              <w:t>select and use appropriate terminology</w:t>
            </w:r>
          </w:p>
          <w:p w14:paraId="2F90BEB3" w14:textId="77777777" w:rsidR="004B56D4" w:rsidRPr="003C193C" w:rsidRDefault="004B56D4" w:rsidP="003C193C">
            <w:pPr>
              <w:pStyle w:val="ListBullet"/>
            </w:pPr>
            <w:r w:rsidRPr="003C193C">
              <w:t>select and use appropriate formats when communicating economic understandings</w:t>
            </w:r>
          </w:p>
          <w:p w14:paraId="46A19371" w14:textId="33E2715A" w:rsidR="004B56D4" w:rsidRPr="003C193C" w:rsidRDefault="004B56D4" w:rsidP="003C193C">
            <w:pPr>
              <w:pStyle w:val="ListBullet"/>
            </w:pPr>
            <w:r w:rsidRPr="003C193C">
              <w:t>use economic models to convey economic theory and reasoning about Australia’s policy mix</w:t>
            </w:r>
          </w:p>
          <w:p w14:paraId="6B7D81D7" w14:textId="53EB209C" w:rsidR="006A13C0" w:rsidRPr="00B80875" w:rsidRDefault="004F28D3" w:rsidP="009D5614">
            <w:pPr>
              <w:pStyle w:val="Tableheadings"/>
            </w:pPr>
            <w:r>
              <w:t xml:space="preserve">Economic </w:t>
            </w:r>
            <w:r w:rsidR="00DD40FA">
              <w:t>k</w:t>
            </w:r>
            <w:r>
              <w:t xml:space="preserve">nowledge and </w:t>
            </w:r>
            <w:r w:rsidR="00DD40FA">
              <w:t>u</w:t>
            </w:r>
            <w:r>
              <w:t>nderstanding</w:t>
            </w:r>
            <w:r w:rsidR="00A24FEA">
              <w:t xml:space="preserve">: </w:t>
            </w:r>
            <w:r w:rsidR="00435553" w:rsidRPr="00B80875">
              <w:t>Structural change</w:t>
            </w:r>
          </w:p>
          <w:p w14:paraId="48EAF4F0" w14:textId="1C0244A8" w:rsidR="006A13C0" w:rsidRPr="00B80875" w:rsidRDefault="00AA09C1" w:rsidP="003C193C">
            <w:pPr>
              <w:pStyle w:val="ListBullet"/>
            </w:pPr>
            <w:r w:rsidRPr="00B80875">
              <w:t xml:space="preserve">the </w:t>
            </w:r>
            <w:r w:rsidR="009500F6" w:rsidRPr="00B80875">
              <w:t>concept of structural change</w:t>
            </w:r>
          </w:p>
          <w:p w14:paraId="4AC70303" w14:textId="6D4B4128" w:rsidR="009500F6" w:rsidRPr="00B80875" w:rsidRDefault="00AA09C1" w:rsidP="003C193C">
            <w:pPr>
              <w:pStyle w:val="ListBullet"/>
            </w:pPr>
            <w:r w:rsidRPr="00B80875">
              <w:t xml:space="preserve">economic </w:t>
            </w:r>
            <w:r w:rsidR="009500F6" w:rsidRPr="00B80875">
              <w:t>indicators of structural change</w:t>
            </w:r>
          </w:p>
          <w:p w14:paraId="706D3A24" w14:textId="357B9DE8" w:rsidR="009500F6" w:rsidRPr="00B80875" w:rsidRDefault="00AA09C1" w:rsidP="003C193C">
            <w:pPr>
              <w:pStyle w:val="ListBullet"/>
            </w:pPr>
            <w:r w:rsidRPr="00B80875">
              <w:t xml:space="preserve">the </w:t>
            </w:r>
            <w:r w:rsidR="009500F6" w:rsidRPr="00B80875">
              <w:t>causes of structural change</w:t>
            </w:r>
          </w:p>
          <w:p w14:paraId="5AC4D29F" w14:textId="4FD038BB" w:rsidR="009500F6" w:rsidRPr="00B80875" w:rsidRDefault="00AA09C1" w:rsidP="003C193C">
            <w:pPr>
              <w:pStyle w:val="ListBullet"/>
            </w:pPr>
            <w:r w:rsidRPr="00B80875">
              <w:t xml:space="preserve">the </w:t>
            </w:r>
            <w:r w:rsidR="009500F6" w:rsidRPr="00B80875">
              <w:t>effects of structural change</w:t>
            </w:r>
          </w:p>
          <w:p w14:paraId="78C38150" w14:textId="37F51D2A" w:rsidR="006A13C0" w:rsidRPr="00B80875" w:rsidRDefault="00AA09C1" w:rsidP="00A01FF8">
            <w:pPr>
              <w:pStyle w:val="ListBullet"/>
              <w:spacing w:after="0"/>
            </w:pPr>
            <w:r w:rsidRPr="00B80875">
              <w:t xml:space="preserve">the </w:t>
            </w:r>
            <w:r w:rsidR="00377837" w:rsidRPr="00B80875">
              <w:t>relationship between economic growth and structural change</w:t>
            </w:r>
          </w:p>
        </w:tc>
      </w:tr>
      <w:tr w:rsidR="006A13C0" w:rsidRPr="00B80875" w14:paraId="107B3E34" w14:textId="77777777" w:rsidTr="0017217F">
        <w:trPr>
          <w:gridAfter w:val="1"/>
          <w:wAfter w:w="10" w:type="dxa"/>
        </w:trPr>
        <w:tc>
          <w:tcPr>
            <w:tcW w:w="993" w:type="dxa"/>
            <w:gridSpan w:val="2"/>
            <w:tcBorders>
              <w:top w:val="single" w:sz="4" w:space="0" w:color="FFFFFF" w:themeColor="background1"/>
              <w:bottom w:val="nil"/>
            </w:tcBorders>
            <w:shd w:val="clear" w:color="auto" w:fill="E4D8EB" w:themeFill="accent4" w:themeFillTint="66"/>
            <w:vAlign w:val="center"/>
          </w:tcPr>
          <w:p w14:paraId="0D067098" w14:textId="789831FB" w:rsidR="006A13C0" w:rsidRPr="00B80875" w:rsidRDefault="00274092" w:rsidP="0047621D">
            <w:pPr>
              <w:jc w:val="center"/>
              <w:rPr>
                <w:rFonts w:asciiTheme="minorHAnsi" w:hAnsiTheme="minorHAnsi"/>
                <w:szCs w:val="20"/>
              </w:rPr>
            </w:pPr>
            <w:r>
              <w:rPr>
                <w:rFonts w:asciiTheme="minorHAnsi" w:hAnsiTheme="minorHAnsi"/>
                <w:szCs w:val="20"/>
              </w:rPr>
              <w:t>12–</w:t>
            </w:r>
            <w:r w:rsidR="00A01FF8">
              <w:rPr>
                <w:rFonts w:asciiTheme="minorHAnsi" w:hAnsiTheme="minorHAnsi"/>
                <w:szCs w:val="20"/>
              </w:rPr>
              <w:t>13</w:t>
            </w:r>
          </w:p>
        </w:tc>
        <w:tc>
          <w:tcPr>
            <w:tcW w:w="8319" w:type="dxa"/>
            <w:gridSpan w:val="2"/>
            <w:tcBorders>
              <w:right w:val="single" w:sz="4" w:space="0" w:color="D7C5E2" w:themeColor="accent4" w:themeTint="99"/>
            </w:tcBorders>
          </w:tcPr>
          <w:p w14:paraId="1A73B4C8" w14:textId="305B539D" w:rsidR="00CD028C" w:rsidRPr="00FC2EC2" w:rsidRDefault="00DD40FA" w:rsidP="009D5614">
            <w:pPr>
              <w:pStyle w:val="Tableheadings"/>
            </w:pPr>
            <w:r w:rsidRPr="002E5C45">
              <w:t>Ta</w:t>
            </w:r>
            <w:r>
              <w:t xml:space="preserve">sk </w:t>
            </w:r>
            <w:r w:rsidR="00CD028C">
              <w:t>9</w:t>
            </w:r>
            <w:r w:rsidR="00CD028C" w:rsidRPr="002E5C45">
              <w:t xml:space="preserve">: </w:t>
            </w:r>
            <w:r w:rsidR="00CD028C">
              <w:t xml:space="preserve">Data </w:t>
            </w:r>
            <w:r>
              <w:t>i</w:t>
            </w:r>
            <w:r w:rsidR="00CD028C">
              <w:t xml:space="preserve">nterpretation/Short </w:t>
            </w:r>
            <w:r>
              <w:t>a</w:t>
            </w:r>
            <w:r w:rsidR="00CD028C">
              <w:t>nswer</w:t>
            </w:r>
          </w:p>
          <w:p w14:paraId="637195E5" w14:textId="3AF83F37" w:rsidR="004B56D4" w:rsidRPr="00B542EB" w:rsidRDefault="004B56D4" w:rsidP="009D5614">
            <w:pPr>
              <w:pStyle w:val="Tableheadings"/>
              <w:rPr>
                <w:rFonts w:ascii="Calibri" w:eastAsiaTheme="minorEastAsia" w:hAnsi="Calibri" w:cstheme="minorBidi"/>
              </w:rPr>
            </w:pPr>
            <w:r w:rsidRPr="004B56D4">
              <w:rPr>
                <w:rFonts w:ascii="Calibri" w:eastAsiaTheme="minorEastAsia" w:hAnsi="Calibri" w:cstheme="minorBidi"/>
              </w:rPr>
              <w:t xml:space="preserve">Economic </w:t>
            </w:r>
            <w:r w:rsidR="00DD40FA" w:rsidRPr="004B56D4">
              <w:rPr>
                <w:rFonts w:ascii="Calibri" w:eastAsiaTheme="minorEastAsia" w:hAnsi="Calibri" w:cstheme="minorBidi"/>
              </w:rPr>
              <w:t>s</w:t>
            </w:r>
            <w:r w:rsidRPr="004B56D4">
              <w:rPr>
                <w:rFonts w:ascii="Calibri" w:eastAsiaTheme="minorEastAsia" w:hAnsi="Calibri" w:cstheme="minorBidi"/>
              </w:rPr>
              <w:t>kills:</w:t>
            </w:r>
            <w:r>
              <w:rPr>
                <w:rFonts w:ascii="Calibri" w:eastAsiaTheme="minorEastAsia" w:hAnsi="Calibri" w:cstheme="minorBidi"/>
              </w:rPr>
              <w:t xml:space="preserve"> </w:t>
            </w:r>
            <w:r w:rsidRPr="00FC2EC2">
              <w:rPr>
                <w:rFonts w:ascii="Calibri" w:eastAsiaTheme="minorEastAsia" w:hAnsi="Calibri" w:cstheme="minorBidi"/>
              </w:rPr>
              <w:t>Reasoning, interpretation and analysis</w:t>
            </w:r>
          </w:p>
          <w:p w14:paraId="36FAF470" w14:textId="1989C08A" w:rsidR="004B56D4" w:rsidRPr="003C193C" w:rsidRDefault="004B56D4" w:rsidP="003C193C">
            <w:pPr>
              <w:pStyle w:val="ListBullet"/>
            </w:pPr>
            <w:r w:rsidRPr="003C193C">
              <w:t xml:space="preserve">use macroeconomic models to analyse Australia’s policy stance, including the </w:t>
            </w:r>
            <w:commentRangeStart w:id="12"/>
            <w:r w:rsidRPr="00304E68">
              <w:rPr>
                <w:rPrChange w:id="13" w:author="Belinda Calvert" w:date="2020-11-19T14:29:00Z">
                  <w:rPr>
                    <w:b/>
                  </w:rPr>
                </w:rPrChange>
              </w:rPr>
              <w:t>aggregate demand and aggregate</w:t>
            </w:r>
            <w:bookmarkStart w:id="14" w:name="_GoBack"/>
            <w:bookmarkEnd w:id="14"/>
            <w:r w:rsidRPr="00304E68">
              <w:rPr>
                <w:rPrChange w:id="15" w:author="Belinda Calvert" w:date="2020-11-19T14:29:00Z">
                  <w:rPr>
                    <w:b/>
                  </w:rPr>
                </w:rPrChange>
              </w:rPr>
              <w:t xml:space="preserve"> supply model</w:t>
            </w:r>
            <w:commentRangeEnd w:id="12"/>
            <w:r w:rsidR="00304E68">
              <w:rPr>
                <w:rStyle w:val="CommentReference"/>
                <w:rFonts w:ascii="Arial" w:eastAsiaTheme="minorHAnsi" w:hAnsi="Arial"/>
              </w:rPr>
              <w:commentReference w:id="12"/>
            </w:r>
          </w:p>
          <w:p w14:paraId="3D11D95C" w14:textId="5095B14F" w:rsidR="004B56D4" w:rsidRPr="002E5C45" w:rsidRDefault="00AA2307" w:rsidP="009D5614">
            <w:pPr>
              <w:pStyle w:val="Tableheadings"/>
              <w:rPr>
                <w:rFonts w:eastAsiaTheme="minorEastAsia"/>
              </w:rPr>
            </w:pPr>
            <w:r>
              <w:rPr>
                <w:rFonts w:eastAsiaTheme="minorEastAsia"/>
              </w:rPr>
              <w:t xml:space="preserve">Economic </w:t>
            </w:r>
            <w:r w:rsidR="00DD40FA">
              <w:rPr>
                <w:rFonts w:eastAsiaTheme="minorEastAsia"/>
              </w:rPr>
              <w:t>s</w:t>
            </w:r>
            <w:r>
              <w:rPr>
                <w:rFonts w:eastAsiaTheme="minorEastAsia"/>
              </w:rPr>
              <w:t xml:space="preserve">kills: </w:t>
            </w:r>
            <w:r w:rsidR="004B56D4" w:rsidRPr="002E5C45">
              <w:rPr>
                <w:rFonts w:eastAsiaTheme="minorEastAsia"/>
              </w:rPr>
              <w:t>Communication</w:t>
            </w:r>
          </w:p>
          <w:p w14:paraId="70CC6B4C" w14:textId="77777777" w:rsidR="004B56D4" w:rsidRPr="003C193C" w:rsidRDefault="004B56D4" w:rsidP="003C193C">
            <w:pPr>
              <w:pStyle w:val="ListBullet"/>
            </w:pPr>
            <w:r w:rsidRPr="003C193C">
              <w:t>select and use appropriate terminology</w:t>
            </w:r>
          </w:p>
          <w:p w14:paraId="6D3D2A62" w14:textId="77777777" w:rsidR="004B56D4" w:rsidRPr="003C193C" w:rsidRDefault="004B56D4" w:rsidP="003C193C">
            <w:pPr>
              <w:pStyle w:val="ListBullet"/>
            </w:pPr>
            <w:r w:rsidRPr="003C193C">
              <w:t>select and use appropriate formats when communicating economic understandings</w:t>
            </w:r>
          </w:p>
          <w:p w14:paraId="5E8FE178" w14:textId="77777777" w:rsidR="004B56D4" w:rsidRPr="003C193C" w:rsidRDefault="004B56D4" w:rsidP="003C193C">
            <w:pPr>
              <w:pStyle w:val="ListBullet"/>
            </w:pPr>
            <w:r w:rsidRPr="003C193C">
              <w:t>use economic models to convey economic theory and reasoning about Australia’s policy mix</w:t>
            </w:r>
          </w:p>
          <w:p w14:paraId="4B1A1DCE" w14:textId="01C3F551" w:rsidR="006A13C0" w:rsidRPr="00B80875" w:rsidRDefault="004F28D3" w:rsidP="009D5614">
            <w:pPr>
              <w:pStyle w:val="Tableheadings"/>
            </w:pPr>
            <w:r>
              <w:t xml:space="preserve">Economic </w:t>
            </w:r>
            <w:r w:rsidR="00773AF4">
              <w:t>k</w:t>
            </w:r>
            <w:r>
              <w:t xml:space="preserve">nowledge and </w:t>
            </w:r>
            <w:r w:rsidR="00773AF4">
              <w:t>u</w:t>
            </w:r>
            <w:r>
              <w:t>nderstanding</w:t>
            </w:r>
            <w:r w:rsidR="00A24FEA">
              <w:t xml:space="preserve">: </w:t>
            </w:r>
            <w:r w:rsidR="00377837" w:rsidRPr="00B80875">
              <w:t>Measures to improve p</w:t>
            </w:r>
            <w:r w:rsidR="00435553" w:rsidRPr="00B80875">
              <w:t>roductivity</w:t>
            </w:r>
          </w:p>
          <w:p w14:paraId="43F65694" w14:textId="4560ADC1" w:rsidR="006A13C0" w:rsidRPr="00B80875" w:rsidRDefault="00EC2B73" w:rsidP="003C193C">
            <w:pPr>
              <w:pStyle w:val="ListBullet"/>
            </w:pPr>
            <w:r w:rsidRPr="00B80875">
              <w:t xml:space="preserve">the </w:t>
            </w:r>
            <w:r w:rsidR="00377837" w:rsidRPr="00B80875">
              <w:t>concept of productivity</w:t>
            </w:r>
          </w:p>
          <w:p w14:paraId="228D8D78" w14:textId="4A0F97E4" w:rsidR="00377837" w:rsidRPr="00B80875" w:rsidRDefault="00EC2B73" w:rsidP="003C193C">
            <w:pPr>
              <w:pStyle w:val="ListBullet"/>
            </w:pPr>
            <w:r w:rsidRPr="00B80875">
              <w:t xml:space="preserve">the </w:t>
            </w:r>
            <w:r w:rsidR="00377837" w:rsidRPr="00B80875">
              <w:t>distinction between labour productivity and multifactor productivity</w:t>
            </w:r>
          </w:p>
          <w:p w14:paraId="7523FC5D" w14:textId="79B0E556" w:rsidR="00F43EF5" w:rsidRPr="00B80875" w:rsidRDefault="00EC2B73" w:rsidP="003C193C">
            <w:pPr>
              <w:pStyle w:val="ListBullet"/>
            </w:pPr>
            <w:r w:rsidRPr="00B80875">
              <w:t xml:space="preserve">the </w:t>
            </w:r>
            <w:r w:rsidR="00F43EF5" w:rsidRPr="00B80875">
              <w:t>determinants of productivity growth</w:t>
            </w:r>
          </w:p>
          <w:p w14:paraId="7C420F68" w14:textId="6790761B" w:rsidR="00377837" w:rsidRPr="00B80875" w:rsidRDefault="00EC2B73" w:rsidP="003C193C">
            <w:pPr>
              <w:pStyle w:val="ListBullet"/>
            </w:pPr>
            <w:r w:rsidRPr="00B80875">
              <w:t xml:space="preserve">the </w:t>
            </w:r>
            <w:r w:rsidR="00377837" w:rsidRPr="00B80875">
              <w:t>relationship between productivity and economic growth</w:t>
            </w:r>
          </w:p>
          <w:p w14:paraId="25D2B179" w14:textId="7B266628" w:rsidR="001E4A7B" w:rsidRPr="00B80875" w:rsidRDefault="00EC2B73" w:rsidP="003C193C">
            <w:pPr>
              <w:pStyle w:val="ListBullet"/>
            </w:pPr>
            <w:r w:rsidRPr="00B80875">
              <w:t xml:space="preserve">recent </w:t>
            </w:r>
            <w:r w:rsidR="007B25E1" w:rsidRPr="00B80875">
              <w:t xml:space="preserve">(the last ten years) </w:t>
            </w:r>
            <w:r w:rsidR="001E4A7B" w:rsidRPr="00B80875">
              <w:t>trends in productivity in Australia</w:t>
            </w:r>
          </w:p>
          <w:p w14:paraId="7BAB7A3B" w14:textId="7D93D679" w:rsidR="005A1631" w:rsidRPr="00B80875" w:rsidRDefault="00EC2B73" w:rsidP="003C193C">
            <w:pPr>
              <w:pStyle w:val="ListBullet"/>
            </w:pPr>
            <w:r w:rsidRPr="00B80875">
              <w:t xml:space="preserve">the </w:t>
            </w:r>
            <w:r w:rsidR="005A1631" w:rsidRPr="00B80875">
              <w:t>effect of productivity growth on the AD/AS model</w:t>
            </w:r>
          </w:p>
          <w:p w14:paraId="576F724C" w14:textId="268418F5" w:rsidR="00377837" w:rsidRPr="00B80875" w:rsidRDefault="00EC2B73" w:rsidP="004F048B">
            <w:pPr>
              <w:pStyle w:val="ListBullet"/>
              <w:spacing w:after="0"/>
            </w:pPr>
            <w:r w:rsidRPr="00B80875">
              <w:t xml:space="preserve">recent </w:t>
            </w:r>
            <w:r w:rsidR="00377837" w:rsidRPr="00B80875">
              <w:t>(the last ten years) government policies that promote productivity and economic growth:</w:t>
            </w:r>
          </w:p>
          <w:p w14:paraId="262A2E5A" w14:textId="2A85330C" w:rsidR="00377837" w:rsidRPr="00B80875" w:rsidRDefault="00377837" w:rsidP="003C193C">
            <w:pPr>
              <w:pStyle w:val="ListBullet2"/>
            </w:pPr>
            <w:r w:rsidRPr="00B80875">
              <w:t>labour market reform</w:t>
            </w:r>
          </w:p>
          <w:p w14:paraId="48D59D97" w14:textId="61C854E3" w:rsidR="00377837" w:rsidRPr="00B80875" w:rsidRDefault="00377837" w:rsidP="003C193C">
            <w:pPr>
              <w:pStyle w:val="ListBullet2"/>
            </w:pPr>
            <w:r w:rsidRPr="00B80875">
              <w:t xml:space="preserve">taxation reform </w:t>
            </w:r>
          </w:p>
          <w:p w14:paraId="4160C580" w14:textId="4C7D2CAD" w:rsidR="00377837" w:rsidRPr="00B80875" w:rsidRDefault="00377837" w:rsidP="003C193C">
            <w:pPr>
              <w:pStyle w:val="ListBullet2"/>
            </w:pPr>
            <w:r w:rsidRPr="00B80875">
              <w:t xml:space="preserve">trade liberalisation </w:t>
            </w:r>
          </w:p>
          <w:p w14:paraId="39E56ECF" w14:textId="0381C157" w:rsidR="00377837" w:rsidRPr="00B80875" w:rsidRDefault="00377837" w:rsidP="003C193C">
            <w:pPr>
              <w:pStyle w:val="ListBullet2"/>
            </w:pPr>
            <w:r w:rsidRPr="00B80875">
              <w:t>deregulation and competition policy</w:t>
            </w:r>
          </w:p>
          <w:p w14:paraId="7ABCB4BA" w14:textId="510EA6B7" w:rsidR="00377837" w:rsidRPr="00B80875" w:rsidRDefault="00377837" w:rsidP="003C193C">
            <w:pPr>
              <w:pStyle w:val="ListBullet2"/>
            </w:pPr>
            <w:r w:rsidRPr="00B80875">
              <w:t xml:space="preserve">investment in infrastructure </w:t>
            </w:r>
          </w:p>
          <w:p w14:paraId="05C8EDA4" w14:textId="41412A11" w:rsidR="00377837" w:rsidRPr="00B80875" w:rsidRDefault="00377837" w:rsidP="003C193C">
            <w:pPr>
              <w:pStyle w:val="ListBullet2"/>
            </w:pPr>
            <w:r w:rsidRPr="00B80875">
              <w:t xml:space="preserve">education and training </w:t>
            </w:r>
          </w:p>
          <w:p w14:paraId="31D8DA5C" w14:textId="08517111" w:rsidR="00377837" w:rsidRPr="00B80875" w:rsidRDefault="00377837" w:rsidP="003C193C">
            <w:pPr>
              <w:pStyle w:val="ListBullet2"/>
              <w:spacing w:after="0"/>
            </w:pPr>
            <w:r w:rsidRPr="00B80875">
              <w:t>research and innovation</w:t>
            </w:r>
          </w:p>
          <w:p w14:paraId="5C645770" w14:textId="2DFC85CE" w:rsidR="006A13C0" w:rsidRPr="00B80875" w:rsidRDefault="00EC2B73" w:rsidP="003C193C">
            <w:pPr>
              <w:pStyle w:val="ListBullet"/>
              <w:spacing w:after="0"/>
            </w:pPr>
            <w:r w:rsidRPr="00B80875">
              <w:t xml:space="preserve">the </w:t>
            </w:r>
            <w:r w:rsidR="00377837" w:rsidRPr="00B80875">
              <w:t>impact of productivity on the achievement of macroeconomic objectives</w:t>
            </w:r>
          </w:p>
        </w:tc>
      </w:tr>
      <w:tr w:rsidR="006A13C0" w:rsidRPr="00B80875" w14:paraId="42160DCB" w14:textId="77777777" w:rsidTr="0017217F">
        <w:trPr>
          <w:gridBefore w:val="1"/>
          <w:wBefore w:w="10" w:type="dxa"/>
        </w:trPr>
        <w:tc>
          <w:tcPr>
            <w:tcW w:w="993" w:type="dxa"/>
            <w:gridSpan w:val="2"/>
            <w:tcBorders>
              <w:top w:val="single" w:sz="4" w:space="0" w:color="FFFFFF" w:themeColor="background1"/>
              <w:bottom w:val="single" w:sz="4" w:space="0" w:color="FFFFFF" w:themeColor="background1"/>
            </w:tcBorders>
            <w:shd w:val="clear" w:color="auto" w:fill="E4D8EB" w:themeFill="accent4" w:themeFillTint="66"/>
            <w:vAlign w:val="center"/>
            <w:hideMark/>
          </w:tcPr>
          <w:p w14:paraId="630E148D" w14:textId="6980A127" w:rsidR="006A13C0" w:rsidRPr="00B80875" w:rsidRDefault="006A13C0" w:rsidP="0047621D">
            <w:pPr>
              <w:jc w:val="center"/>
              <w:rPr>
                <w:rFonts w:asciiTheme="minorHAnsi" w:hAnsiTheme="minorHAnsi"/>
                <w:szCs w:val="20"/>
              </w:rPr>
            </w:pPr>
            <w:r w:rsidRPr="00B80875">
              <w:rPr>
                <w:rFonts w:asciiTheme="minorHAnsi" w:hAnsiTheme="minorHAnsi"/>
                <w:szCs w:val="20"/>
              </w:rPr>
              <w:t>14</w:t>
            </w:r>
          </w:p>
        </w:tc>
        <w:tc>
          <w:tcPr>
            <w:tcW w:w="8319" w:type="dxa"/>
            <w:gridSpan w:val="2"/>
            <w:tcBorders>
              <w:right w:val="single" w:sz="4" w:space="0" w:color="D7C5E2" w:themeColor="accent4" w:themeTint="99"/>
            </w:tcBorders>
          </w:tcPr>
          <w:p w14:paraId="48B77BD2" w14:textId="158A9DCA" w:rsidR="00250D7D" w:rsidRPr="00B80875" w:rsidRDefault="00435553" w:rsidP="003C193C">
            <w:pPr>
              <w:spacing w:line="276" w:lineRule="auto"/>
              <w:rPr>
                <w:rFonts w:asciiTheme="minorHAnsi" w:hAnsiTheme="minorHAnsi"/>
                <w:szCs w:val="20"/>
              </w:rPr>
            </w:pPr>
            <w:r w:rsidRPr="00B80875">
              <w:rPr>
                <w:rFonts w:asciiTheme="minorHAnsi" w:hAnsiTheme="minorHAnsi"/>
                <w:szCs w:val="20"/>
              </w:rPr>
              <w:t>Revision</w:t>
            </w:r>
          </w:p>
        </w:tc>
      </w:tr>
      <w:tr w:rsidR="006A13C0" w:rsidRPr="00B80875" w14:paraId="7910FB82" w14:textId="77777777" w:rsidTr="0017217F">
        <w:trPr>
          <w:gridBefore w:val="1"/>
          <w:wBefore w:w="10" w:type="dxa"/>
        </w:trPr>
        <w:tc>
          <w:tcPr>
            <w:tcW w:w="993" w:type="dxa"/>
            <w:gridSpan w:val="2"/>
            <w:tcBorders>
              <w:top w:val="single" w:sz="4" w:space="0" w:color="FFFFFF" w:themeColor="background1"/>
              <w:bottom w:val="single" w:sz="4" w:space="0" w:color="D7C5E2" w:themeColor="accent4" w:themeTint="99"/>
            </w:tcBorders>
            <w:shd w:val="clear" w:color="auto" w:fill="E4D8EB" w:themeFill="accent4" w:themeFillTint="66"/>
            <w:vAlign w:val="center"/>
          </w:tcPr>
          <w:p w14:paraId="631BEACD" w14:textId="0834BB37" w:rsidR="006A13C0" w:rsidRPr="00B80875" w:rsidRDefault="00435553" w:rsidP="0047621D">
            <w:pPr>
              <w:jc w:val="center"/>
              <w:rPr>
                <w:rFonts w:asciiTheme="minorHAnsi" w:hAnsiTheme="minorHAnsi"/>
                <w:szCs w:val="20"/>
              </w:rPr>
            </w:pPr>
            <w:r w:rsidRPr="00B80875">
              <w:rPr>
                <w:rFonts w:asciiTheme="minorHAnsi" w:hAnsiTheme="minorHAnsi"/>
                <w:szCs w:val="20"/>
              </w:rPr>
              <w:t>15</w:t>
            </w:r>
          </w:p>
        </w:tc>
        <w:tc>
          <w:tcPr>
            <w:tcW w:w="8319" w:type="dxa"/>
            <w:gridSpan w:val="2"/>
            <w:tcBorders>
              <w:bottom w:val="single" w:sz="4" w:space="0" w:color="D7C5E2" w:themeColor="accent4" w:themeTint="99"/>
              <w:right w:val="single" w:sz="4" w:space="0" w:color="D7C5E2" w:themeColor="accent4" w:themeTint="99"/>
            </w:tcBorders>
          </w:tcPr>
          <w:p w14:paraId="410BB44E" w14:textId="1E79998E" w:rsidR="00250D7D" w:rsidRPr="00FC2EC2" w:rsidRDefault="00773AF4" w:rsidP="009D5614">
            <w:pPr>
              <w:pStyle w:val="Tableheadings"/>
            </w:pPr>
            <w:r w:rsidRPr="00FC2EC2">
              <w:t xml:space="preserve">Task </w:t>
            </w:r>
            <w:r w:rsidR="004B56D4" w:rsidRPr="00FC2EC2">
              <w:t xml:space="preserve">10: </w:t>
            </w:r>
            <w:r w:rsidR="004E6FF9" w:rsidRPr="00FC2EC2">
              <w:t xml:space="preserve">Semester 2 </w:t>
            </w:r>
            <w:r w:rsidR="00187203" w:rsidRPr="00FC2EC2">
              <w:t>E</w:t>
            </w:r>
            <w:r w:rsidR="006A13C0" w:rsidRPr="00FC2EC2">
              <w:t>xamination</w:t>
            </w:r>
          </w:p>
        </w:tc>
      </w:tr>
    </w:tbl>
    <w:p w14:paraId="76F09C1D" w14:textId="5736DDD8" w:rsidR="00CF3CB2" w:rsidRPr="004F048B" w:rsidRDefault="00CF3CB2" w:rsidP="004F048B"/>
    <w:sectPr w:rsidR="00CF3CB2" w:rsidRPr="004F048B" w:rsidSect="0004659D">
      <w:headerReference w:type="even" r:id="rId18"/>
      <w:headerReference w:type="default" r:id="rId19"/>
      <w:footerReference w:type="even" r:id="rId20"/>
      <w:footerReference w:type="default" r:id="rId21"/>
      <w:headerReference w:type="first" r:id="rId22"/>
      <w:footerReference w:type="first" r:id="rId23"/>
      <w:pgSz w:w="11906" w:h="16838" w:code="9"/>
      <w:pgMar w:top="1440" w:right="1416" w:bottom="1440" w:left="1440" w:header="709" w:footer="70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linda Calvert" w:date="2020-11-19T14:03:00Z" w:initials="BC">
    <w:p w14:paraId="4A3E3771" w14:textId="2908AF08" w:rsidR="00FA42F2" w:rsidRDefault="00FA42F2">
      <w:pPr>
        <w:pStyle w:val="CommentText"/>
      </w:pPr>
      <w:r>
        <w:rPr>
          <w:rStyle w:val="CommentReference"/>
        </w:rPr>
        <w:annotationRef/>
      </w:r>
      <w:r w:rsidR="00C8357B">
        <w:rPr>
          <w:noProof/>
        </w:rPr>
        <w:t xml:space="preserve">Previous revision </w:t>
      </w:r>
      <w:r w:rsidR="00C8357B">
        <w:rPr>
          <w:noProof/>
        </w:rPr>
        <w:t>had</w:t>
      </w:r>
      <w:r w:rsidR="00C8357B">
        <w:rPr>
          <w:noProof/>
        </w:rPr>
        <w:t xml:space="preserve"> </w:t>
      </w:r>
      <w:r w:rsidR="00C8357B">
        <w:rPr>
          <w:noProof/>
        </w:rPr>
        <w:t>&lt;</w:t>
      </w:r>
      <w:r w:rsidR="00C8357B">
        <w:rPr>
          <w:noProof/>
        </w:rPr>
        <w:t>including;</w:t>
      </w:r>
      <w:r w:rsidR="00C8357B">
        <w:rPr>
          <w:noProof/>
        </w:rPr>
        <w:t>&gt;</w:t>
      </w:r>
      <w:r w:rsidR="00C8357B">
        <w:rPr>
          <w:noProof/>
        </w:rPr>
        <w:t xml:space="preserve"> and Juanita queried "is this correct</w:t>
      </w:r>
      <w:r w:rsidR="00C8357B">
        <w:rPr>
          <w:noProof/>
        </w:rPr>
        <w:t>?"</w:t>
      </w:r>
      <w:r w:rsidR="00C8357B">
        <w:rPr>
          <w:noProof/>
        </w:rPr>
        <w:br/>
        <w:t xml:space="preserve">The PC went ahead and deleted </w:t>
      </w:r>
      <w:r w:rsidR="00C8357B">
        <w:rPr>
          <w:noProof/>
        </w:rPr>
        <w:t>t</w:t>
      </w:r>
      <w:r w:rsidR="00C8357B">
        <w:rPr>
          <w:noProof/>
        </w:rPr>
        <w:t>he &lt;;&gt;</w:t>
      </w:r>
      <w:r w:rsidR="00C8357B">
        <w:rPr>
          <w:noProof/>
        </w:rPr>
        <w:t xml:space="preserve"> </w:t>
      </w:r>
      <w:r w:rsidR="00C8357B">
        <w:rPr>
          <w:noProof/>
        </w:rPr>
        <w:t xml:space="preserve">without </w:t>
      </w:r>
      <w:r w:rsidR="00C8357B">
        <w:rPr>
          <w:noProof/>
        </w:rPr>
        <w:t>turning</w:t>
      </w:r>
      <w:r w:rsidR="00C8357B">
        <w:rPr>
          <w:noProof/>
        </w:rPr>
        <w:t>Track Changes on.</w:t>
      </w:r>
    </w:p>
  </w:comment>
  <w:comment w:id="1" w:author="Belinda Calvert" w:date="2020-11-19T14:09:00Z" w:initials="BC">
    <w:p w14:paraId="226D0F16" w14:textId="4839DC59" w:rsidR="009C548A" w:rsidRDefault="009C548A">
      <w:pPr>
        <w:pStyle w:val="CommentText"/>
      </w:pPr>
      <w:r>
        <w:rPr>
          <w:rStyle w:val="CommentReference"/>
        </w:rPr>
        <w:annotationRef/>
      </w:r>
      <w:r w:rsidR="00C8357B">
        <w:rPr>
          <w:noProof/>
        </w:rPr>
        <w:t>Previous revision had this in bold and Juanita queried "is there a reason for this being bold?"</w:t>
      </w:r>
      <w:r w:rsidR="00C8357B">
        <w:rPr>
          <w:noProof/>
        </w:rPr>
        <w:br/>
      </w:r>
      <w:r w:rsidR="00C8357B">
        <w:rPr>
          <w:noProof/>
        </w:rPr>
        <w:t>The PC went ahead and unbolded</w:t>
      </w:r>
      <w:r w:rsidR="00C8357B">
        <w:rPr>
          <w:noProof/>
        </w:rPr>
        <w:t xml:space="preserve"> without turning Track Changes on.</w:t>
      </w:r>
    </w:p>
  </w:comment>
  <w:comment w:id="2" w:author="Belinda Calvert" w:date="2020-11-19T14:11:00Z" w:initials="BC">
    <w:p w14:paraId="293D5A9D" w14:textId="31C9F5BA" w:rsidR="009C548A" w:rsidRDefault="009C548A">
      <w:pPr>
        <w:pStyle w:val="CommentText"/>
      </w:pPr>
      <w:r>
        <w:rPr>
          <w:rStyle w:val="CommentReference"/>
        </w:rPr>
        <w:annotationRef/>
      </w:r>
      <w:r w:rsidR="00C8357B">
        <w:rPr>
          <w:noProof/>
        </w:rPr>
        <w:t>Previous revision had this as &lt;Comparitive&gt; with capital C. Iyleen has changed this</w:t>
      </w:r>
      <w:r w:rsidR="00C8357B">
        <w:rPr>
          <w:noProof/>
        </w:rPr>
        <w:t xml:space="preserve"> </w:t>
      </w:r>
      <w:r w:rsidR="00C8357B">
        <w:rPr>
          <w:noProof/>
        </w:rPr>
        <w:t>to lower case c</w:t>
      </w:r>
      <w:r w:rsidR="00C8357B">
        <w:rPr>
          <w:noProof/>
        </w:rPr>
        <w:t xml:space="preserve"> electronically and it was ticked by Juanita. </w:t>
      </w:r>
    </w:p>
  </w:comment>
  <w:comment w:id="3" w:author="Belinda Calvert" w:date="2020-11-19T14:13:00Z" w:initials="BC">
    <w:p w14:paraId="25B86FBB" w14:textId="77777777" w:rsidR="007A46B1" w:rsidRDefault="007A46B1" w:rsidP="007A46B1">
      <w:pPr>
        <w:pStyle w:val="CommentText"/>
      </w:pPr>
      <w:r>
        <w:rPr>
          <w:rStyle w:val="CommentReference"/>
        </w:rPr>
        <w:annotationRef/>
      </w:r>
      <w:r>
        <w:t>Previous revision had &lt;including;&gt; and Juanita queried "is this correct?"</w:t>
      </w:r>
    </w:p>
    <w:p w14:paraId="679ADAE0" w14:textId="653C598F" w:rsidR="007A46B1" w:rsidRDefault="007A46B1" w:rsidP="007A46B1">
      <w:pPr>
        <w:pStyle w:val="CommentText"/>
      </w:pPr>
      <w:r>
        <w:t>The PC went ahead and deleted the &lt;;&gt; without turningTrack Changes on.</w:t>
      </w:r>
    </w:p>
  </w:comment>
  <w:comment w:id="4" w:author="Belinda Calvert" w:date="2020-11-19T14:15:00Z" w:initials="BC">
    <w:p w14:paraId="55480A3E" w14:textId="77777777" w:rsidR="007A46B1" w:rsidRDefault="007A46B1" w:rsidP="007A46B1">
      <w:pPr>
        <w:pStyle w:val="CommentText"/>
      </w:pPr>
      <w:r>
        <w:rPr>
          <w:rStyle w:val="CommentReference"/>
        </w:rPr>
        <w:annotationRef/>
      </w:r>
      <w:r>
        <w:rPr>
          <w:noProof/>
        </w:rPr>
        <w:t>Previous revision had this in bold and Juanita queried "is there a reason for this being bold?"</w:t>
      </w:r>
      <w:r>
        <w:rPr>
          <w:noProof/>
        </w:rPr>
        <w:br/>
        <w:t>The PC went ahead and unbolded without turning Track Changes on.</w:t>
      </w:r>
    </w:p>
    <w:p w14:paraId="3DE8FBCC" w14:textId="2E1088AB" w:rsidR="007A46B1" w:rsidRDefault="007A46B1">
      <w:pPr>
        <w:pStyle w:val="CommentText"/>
      </w:pPr>
    </w:p>
  </w:comment>
  <w:comment w:id="5" w:author="Belinda Calvert" w:date="2020-11-19T14:15:00Z" w:initials="BC">
    <w:p w14:paraId="5B20B25C" w14:textId="77777777" w:rsidR="007A46B1" w:rsidRDefault="007A46B1" w:rsidP="007A46B1">
      <w:pPr>
        <w:pStyle w:val="CommentText"/>
      </w:pPr>
      <w:r>
        <w:rPr>
          <w:rStyle w:val="CommentReference"/>
        </w:rPr>
        <w:annotationRef/>
      </w:r>
      <w:r>
        <w:t>Previous revision had &lt;including;&gt; and Juanita queried "is this correct?"</w:t>
      </w:r>
    </w:p>
    <w:p w14:paraId="30219AA9" w14:textId="10676012" w:rsidR="007A46B1" w:rsidRDefault="007A46B1" w:rsidP="007A46B1">
      <w:pPr>
        <w:pStyle w:val="CommentText"/>
      </w:pPr>
      <w:r>
        <w:t>The PC went ahead and deleted the &lt;;&gt; without turningTrack Changes on.</w:t>
      </w:r>
    </w:p>
  </w:comment>
  <w:comment w:id="6" w:author="Belinda Calvert" w:date="2020-11-19T14:16:00Z" w:initials="BC">
    <w:p w14:paraId="5F866474" w14:textId="77777777" w:rsidR="007A46B1" w:rsidRDefault="007A46B1" w:rsidP="007A46B1">
      <w:pPr>
        <w:pStyle w:val="CommentText"/>
      </w:pPr>
      <w:r>
        <w:rPr>
          <w:rStyle w:val="CommentReference"/>
        </w:rPr>
        <w:annotationRef/>
      </w:r>
      <w:r>
        <w:t>Previous revision had this in bold and Juanita queried "is there a reason for this being bold?"</w:t>
      </w:r>
    </w:p>
    <w:p w14:paraId="2FAF0754" w14:textId="41C8A842" w:rsidR="007A46B1" w:rsidRDefault="007A46B1" w:rsidP="007A46B1">
      <w:pPr>
        <w:pStyle w:val="CommentText"/>
      </w:pPr>
      <w:r>
        <w:t>The PC went ahead and unbolded without turning Track Changes on.</w:t>
      </w:r>
    </w:p>
  </w:comment>
  <w:comment w:id="7" w:author="Belinda Calvert" w:date="2020-11-19T14:24:00Z" w:initials="BC">
    <w:p w14:paraId="5278892C" w14:textId="77777777" w:rsidR="00304E68" w:rsidRDefault="00304E68" w:rsidP="00304E68">
      <w:pPr>
        <w:pStyle w:val="CommentText"/>
      </w:pPr>
      <w:r>
        <w:rPr>
          <w:rStyle w:val="CommentReference"/>
        </w:rPr>
        <w:annotationRef/>
      </w:r>
      <w:r>
        <w:t>Previous revision had &lt;including;&gt; and Juanita queried "is this correct?"</w:t>
      </w:r>
    </w:p>
    <w:p w14:paraId="2E79DEDE" w14:textId="75333060" w:rsidR="00304E68" w:rsidRDefault="00304E68" w:rsidP="00304E68">
      <w:pPr>
        <w:pStyle w:val="CommentText"/>
      </w:pPr>
      <w:r>
        <w:t>The PC went ahead and deleted the &lt;;&gt; without turningTrack Changes on.</w:t>
      </w:r>
    </w:p>
  </w:comment>
  <w:comment w:id="8" w:author="Belinda Calvert" w:date="2020-11-19T14:25:00Z" w:initials="BC">
    <w:p w14:paraId="597B2BB4" w14:textId="77777777" w:rsidR="00304E68" w:rsidRDefault="00304E68" w:rsidP="00304E68">
      <w:pPr>
        <w:pStyle w:val="CommentText"/>
      </w:pPr>
      <w:r>
        <w:rPr>
          <w:rStyle w:val="CommentReference"/>
        </w:rPr>
        <w:annotationRef/>
      </w:r>
      <w:r>
        <w:t>Previous revision had this in bold and Juanita queried "is there a reason for this being bold?"</w:t>
      </w:r>
    </w:p>
    <w:p w14:paraId="7F775AF8" w14:textId="65487287" w:rsidR="00304E68" w:rsidRDefault="00304E68" w:rsidP="00304E68">
      <w:pPr>
        <w:pStyle w:val="CommentText"/>
      </w:pPr>
      <w:r>
        <w:t>The PC went ahead and unbolded without turning Track Changes on.</w:t>
      </w:r>
    </w:p>
  </w:comment>
  <w:comment w:id="9" w:author="Belinda Calvert" w:date="2020-11-19T14:26:00Z" w:initials="BC">
    <w:p w14:paraId="304AA41D" w14:textId="77777777" w:rsidR="00304E68" w:rsidRDefault="00304E68" w:rsidP="00304E68">
      <w:pPr>
        <w:pStyle w:val="CommentText"/>
      </w:pPr>
      <w:r>
        <w:rPr>
          <w:rStyle w:val="CommentReference"/>
        </w:rPr>
        <w:annotationRef/>
      </w:r>
      <w:r>
        <w:t>Previous revision had this in bold and Juanita queried "is there a reason for this being bold?"</w:t>
      </w:r>
    </w:p>
    <w:p w14:paraId="2781806B" w14:textId="3A86B524" w:rsidR="00304E68" w:rsidRDefault="00304E68" w:rsidP="00304E68">
      <w:pPr>
        <w:pStyle w:val="CommentText"/>
      </w:pPr>
      <w:r>
        <w:t>The PC went ahead and unbolded without turning Track Changes on.</w:t>
      </w:r>
    </w:p>
  </w:comment>
  <w:comment w:id="10" w:author="Belinda Calvert" w:date="2020-11-19T14:27:00Z" w:initials="BC">
    <w:p w14:paraId="19445F14" w14:textId="77777777" w:rsidR="00304E68" w:rsidRDefault="00304E68" w:rsidP="00304E68">
      <w:pPr>
        <w:pStyle w:val="CommentText"/>
      </w:pPr>
      <w:r>
        <w:rPr>
          <w:rStyle w:val="CommentReference"/>
        </w:rPr>
        <w:annotationRef/>
      </w:r>
      <w:r>
        <w:t>Previous revision had this in bold and Juanita queried "is there a reason for this being bold?"</w:t>
      </w:r>
    </w:p>
    <w:p w14:paraId="2C56CC59" w14:textId="6F003FDB" w:rsidR="00304E68" w:rsidRDefault="00304E68" w:rsidP="00304E68">
      <w:pPr>
        <w:pStyle w:val="CommentText"/>
      </w:pPr>
      <w:r>
        <w:t>The PC went ahead and unbolded without turning Track Changes on.</w:t>
      </w:r>
    </w:p>
  </w:comment>
  <w:comment w:id="11" w:author="Belinda Calvert" w:date="2020-11-19T14:27:00Z" w:initials="BC">
    <w:p w14:paraId="723E9E8A" w14:textId="77777777" w:rsidR="00304E68" w:rsidRDefault="00304E68" w:rsidP="00304E68">
      <w:pPr>
        <w:pStyle w:val="CommentText"/>
      </w:pPr>
      <w:r>
        <w:rPr>
          <w:rStyle w:val="CommentReference"/>
        </w:rPr>
        <w:annotationRef/>
      </w:r>
      <w:r>
        <w:t>Previous revision had this in bold and Juanita queried "is there a reason for this being bold?"</w:t>
      </w:r>
    </w:p>
    <w:p w14:paraId="6B6B26DD" w14:textId="6755062C" w:rsidR="00304E68" w:rsidRDefault="00304E68" w:rsidP="00304E68">
      <w:pPr>
        <w:pStyle w:val="CommentText"/>
      </w:pPr>
      <w:r>
        <w:t>The PC went ahead and unbolded without turning Track Changes on.</w:t>
      </w:r>
    </w:p>
  </w:comment>
  <w:comment w:id="12" w:author="Belinda Calvert" w:date="2020-11-19T14:29:00Z" w:initials="BC">
    <w:p w14:paraId="5998585E" w14:textId="2EF25880" w:rsidR="00304E68" w:rsidRDefault="00304E68">
      <w:pPr>
        <w:pStyle w:val="CommentText"/>
      </w:pPr>
      <w:r>
        <w:rPr>
          <w:rStyle w:val="CommentReference"/>
        </w:rPr>
        <w:annotationRef/>
      </w:r>
      <w:r w:rsidR="00C8357B">
        <w:rPr>
          <w:noProof/>
        </w:rPr>
        <w:t>I have unbolded this</w:t>
      </w:r>
      <w:r w:rsidR="00C8357B">
        <w:rPr>
          <w:noProof/>
        </w:rPr>
        <w:t>. It was not marked up but is consistent with previous 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3E3771" w15:done="0"/>
  <w15:commentEx w15:paraId="226D0F16" w15:done="0"/>
  <w15:commentEx w15:paraId="293D5A9D" w15:done="0"/>
  <w15:commentEx w15:paraId="679ADAE0" w15:done="0"/>
  <w15:commentEx w15:paraId="3DE8FBCC" w15:done="0"/>
  <w15:commentEx w15:paraId="30219AA9" w15:done="0"/>
  <w15:commentEx w15:paraId="2FAF0754" w15:done="0"/>
  <w15:commentEx w15:paraId="2E79DEDE" w15:done="0"/>
  <w15:commentEx w15:paraId="7F775AF8" w15:done="0"/>
  <w15:commentEx w15:paraId="2781806B" w15:done="0"/>
  <w15:commentEx w15:paraId="2C56CC59" w15:done="0"/>
  <w15:commentEx w15:paraId="6B6B26DD" w15:done="0"/>
  <w15:commentEx w15:paraId="599858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B5E0" w14:textId="77777777" w:rsidR="00C7722A" w:rsidRDefault="00C7722A" w:rsidP="00DB14C9">
      <w:r>
        <w:separator/>
      </w:r>
    </w:p>
  </w:endnote>
  <w:endnote w:type="continuationSeparator" w:id="0">
    <w:p w14:paraId="2DB9A3F8" w14:textId="77777777" w:rsidR="00C7722A" w:rsidRDefault="00C7722A"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BA676" w14:textId="25863B26" w:rsidR="00D75AC2" w:rsidRPr="00DD3C0C" w:rsidRDefault="00D75AC2" w:rsidP="00DD3C0C">
    <w:pPr>
      <w:pStyle w:val="Footer"/>
      <w:pBdr>
        <w:top w:val="single" w:sz="4" w:space="4" w:color="5C815C"/>
      </w:pBdr>
      <w:tabs>
        <w:tab w:val="clear" w:pos="4513"/>
        <w:tab w:val="clear" w:pos="9026"/>
      </w:tabs>
      <w:rPr>
        <w:rFonts w:ascii="Franklin Gothic Book" w:hAnsi="Franklin Gothic Book"/>
        <w:noProof/>
        <w:color w:val="342568"/>
        <w:sz w:val="16"/>
        <w:szCs w:val="18"/>
      </w:rPr>
    </w:pPr>
    <w:r w:rsidRPr="00DD3C0C">
      <w:rPr>
        <w:rFonts w:ascii="Franklin Gothic Book" w:hAnsi="Franklin Gothic Book"/>
        <w:noProof/>
        <w:color w:val="342568"/>
        <w:sz w:val="16"/>
        <w:szCs w:val="18"/>
      </w:rPr>
      <w:t>2015/</w:t>
    </w:r>
    <w:r w:rsidR="00374E6A" w:rsidRPr="00DD3C0C">
      <w:rPr>
        <w:rFonts w:ascii="Franklin Gothic Book" w:hAnsi="Franklin Gothic Book"/>
        <w:noProof/>
        <w:color w:val="342568"/>
        <w:sz w:val="16"/>
        <w:szCs w:val="18"/>
      </w:rPr>
      <w:t>50448v</w:t>
    </w:r>
    <w:r w:rsidR="00D16A70" w:rsidRPr="00DD3C0C">
      <w:rPr>
        <w:rFonts w:ascii="Franklin Gothic Book" w:hAnsi="Franklin Gothic Book"/>
        <w:noProof/>
        <w:color w:val="342568"/>
        <w:sz w:val="16"/>
        <w:szCs w:val="18"/>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8C31" w14:textId="77777777" w:rsidR="00D75AC2" w:rsidRPr="00DE34C4" w:rsidRDefault="00D75AC2"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20888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5F67" w14:textId="77777777" w:rsidR="00DD3C0C" w:rsidRDefault="00DD3C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451F" w14:textId="77777777" w:rsidR="00D75AC2" w:rsidRPr="009D5614" w:rsidRDefault="00D75AC2" w:rsidP="009D5614">
    <w:pPr>
      <w:pStyle w:val="Footer"/>
      <w:pBdr>
        <w:top w:val="single" w:sz="4" w:space="4" w:color="5C815C"/>
      </w:pBdr>
      <w:tabs>
        <w:tab w:val="clear" w:pos="4513"/>
        <w:tab w:val="clear" w:pos="9026"/>
      </w:tabs>
      <w:rPr>
        <w:rFonts w:ascii="Franklin Gothic Book" w:hAnsi="Franklin Gothic Book"/>
        <w:b/>
        <w:noProof/>
        <w:color w:val="342568"/>
        <w:sz w:val="18"/>
        <w:szCs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 Year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4A6D" w14:textId="77777777" w:rsidR="00D75AC2" w:rsidRPr="00DD3C0C" w:rsidRDefault="00D75AC2" w:rsidP="00DD3C0C">
    <w:pPr>
      <w:pStyle w:val="Footer"/>
      <w:pBdr>
        <w:top w:val="single" w:sz="4" w:space="4" w:color="5C815C"/>
      </w:pBdr>
      <w:tabs>
        <w:tab w:val="clear" w:pos="4513"/>
        <w:tab w:val="clear" w:pos="9026"/>
      </w:tabs>
      <w:jc w:val="right"/>
      <w:rPr>
        <w:rFonts w:ascii="Franklin Gothic Book" w:hAnsi="Franklin Gothic Book"/>
        <w:b/>
        <w:noProof/>
        <w:color w:val="342568"/>
        <w:sz w:val="18"/>
        <w:szCs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 Year 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1B9F" w14:textId="77777777" w:rsidR="00D75AC2" w:rsidRPr="009D5614" w:rsidRDefault="00D75AC2" w:rsidP="009D5614">
    <w:pPr>
      <w:pStyle w:val="Footer"/>
      <w:pBdr>
        <w:top w:val="single" w:sz="4" w:space="4" w:color="5C815C"/>
      </w:pBdr>
      <w:tabs>
        <w:tab w:val="clear" w:pos="4513"/>
        <w:tab w:val="clear" w:pos="9026"/>
      </w:tabs>
      <w:jc w:val="right"/>
      <w:rPr>
        <w:rFonts w:ascii="Franklin Gothic Book" w:hAnsi="Franklin Gothic Book"/>
        <w:b/>
        <w:noProof/>
        <w:color w:val="342568"/>
        <w:sz w:val="18"/>
        <w:szCs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 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577A4" w14:textId="77777777" w:rsidR="00C7722A" w:rsidRDefault="00C7722A" w:rsidP="00DB14C9">
      <w:r>
        <w:separator/>
      </w:r>
    </w:p>
  </w:footnote>
  <w:footnote w:type="continuationSeparator" w:id="0">
    <w:p w14:paraId="243924C3" w14:textId="77777777" w:rsidR="00C7722A" w:rsidRDefault="00C7722A"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ADC3" w14:textId="77777777" w:rsidR="00DD3C0C" w:rsidRDefault="00DD3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5DCE" w14:textId="77777777" w:rsidR="00DD3C0C" w:rsidRDefault="00DD3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AA35" w14:textId="77777777" w:rsidR="00D75AC2" w:rsidRDefault="00D75AC2" w:rsidP="00400647">
    <w:pPr>
      <w:pStyle w:val="Header"/>
      <w:ind w:left="-709"/>
    </w:pPr>
    <w:r>
      <w:rPr>
        <w:noProof/>
        <w:lang w:val="en-AU" w:eastAsia="en-AU"/>
      </w:rPr>
      <w:drawing>
        <wp:inline distT="0" distB="0" distL="0" distR="0" wp14:anchorId="43CC45F8" wp14:editId="0EA513BD">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54A873B1" w14:textId="77777777" w:rsidR="00D75AC2" w:rsidRDefault="00D75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D3C8" w14:textId="173E13B0" w:rsidR="00D75AC2" w:rsidRPr="005012A1" w:rsidRDefault="00D75AC2" w:rsidP="00967EF5">
    <w:pPr>
      <w:pStyle w:val="Header"/>
      <w:pBdr>
        <w:bottom w:val="single" w:sz="8" w:space="1" w:color="5C815C"/>
      </w:pBdr>
      <w:tabs>
        <w:tab w:val="clear" w:pos="4513"/>
        <w:tab w:val="clear" w:pos="9026"/>
      </w:tabs>
      <w:ind w:left="-1276" w:right="9334"/>
      <w:jc w:val="right"/>
      <w:rPr>
        <w:rFonts w:ascii="Franklin Gothic Book" w:hAnsi="Franklin Gothic Book"/>
        <w:b/>
        <w:noProof/>
        <w:color w:val="46328C"/>
        <w:sz w:val="32"/>
      </w:rPr>
    </w:pPr>
    <w:r w:rsidRPr="001B3981">
      <w:rPr>
        <w:rFonts w:ascii="Franklin Gothic Book" w:hAnsi="Franklin Gothic Book"/>
        <w:b/>
        <w:noProof/>
        <w:color w:val="46328C"/>
        <w:sz w:val="32"/>
      </w:rPr>
      <w:fldChar w:fldCharType="begin"/>
    </w:r>
    <w:r w:rsidRPr="001B3981">
      <w:rPr>
        <w:rFonts w:ascii="Franklin Gothic Book" w:hAnsi="Franklin Gothic Book"/>
        <w:b/>
        <w:noProof/>
        <w:color w:val="46328C"/>
        <w:sz w:val="32"/>
      </w:rPr>
      <w:instrText xml:space="preserve"> PAGE   \* MERGEFORMAT </w:instrText>
    </w:r>
    <w:r w:rsidRPr="001B3981">
      <w:rPr>
        <w:rFonts w:ascii="Franklin Gothic Book" w:hAnsi="Franklin Gothic Book"/>
        <w:b/>
        <w:noProof/>
        <w:color w:val="46328C"/>
        <w:sz w:val="32"/>
      </w:rPr>
      <w:fldChar w:fldCharType="separate"/>
    </w:r>
    <w:r w:rsidR="00C8357B">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F547" w14:textId="40B55769" w:rsidR="00D75AC2" w:rsidRPr="005012A1" w:rsidRDefault="00D75AC2" w:rsidP="00DD3C0C">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8357B">
      <w:rPr>
        <w:rFonts w:ascii="Franklin Gothic Book" w:hAnsi="Franklin Gothic Book"/>
        <w:b/>
        <w:noProof/>
        <w:color w:val="46328C"/>
        <w:sz w:val="32"/>
      </w:rPr>
      <w:t>7</w:t>
    </w:r>
    <w:r w:rsidRPr="001B3981">
      <w:rPr>
        <w:rFonts w:ascii="Franklin Gothic Book" w:hAnsi="Franklin Gothic Book"/>
        <w:b/>
        <w:noProof/>
        <w:color w:val="46328C"/>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D4C1" w14:textId="0A1795D1" w:rsidR="00D75AC2" w:rsidRPr="005012A1" w:rsidRDefault="00D75AC2" w:rsidP="00967EF5">
    <w:pPr>
      <w:pStyle w:val="Header"/>
      <w:pBdr>
        <w:bottom w:val="single" w:sz="8" w:space="1" w:color="5C815C"/>
      </w:pBdr>
      <w:tabs>
        <w:tab w:val="clear" w:pos="4513"/>
        <w:tab w:val="clear" w:pos="9026"/>
      </w:tabs>
      <w:ind w:left="9356" w:right="-1274"/>
      <w:rPr>
        <w:rFonts w:ascii="Franklin Gothic Book" w:hAnsi="Franklin Gothic Book"/>
        <w:b/>
        <w:noProof/>
        <w:color w:val="46328C"/>
        <w:sz w:val="32"/>
      </w:rPr>
    </w:pPr>
    <w:r w:rsidRPr="001B3981">
      <w:rPr>
        <w:rFonts w:ascii="Franklin Gothic Book" w:hAnsi="Franklin Gothic Book"/>
        <w:b/>
        <w:noProof/>
        <w:color w:val="46328C"/>
        <w:sz w:val="32"/>
      </w:rPr>
      <w:fldChar w:fldCharType="begin"/>
    </w:r>
    <w:r w:rsidRPr="001B3981">
      <w:rPr>
        <w:rFonts w:ascii="Franklin Gothic Book" w:hAnsi="Franklin Gothic Book"/>
        <w:b/>
        <w:noProof/>
        <w:color w:val="46328C"/>
        <w:sz w:val="32"/>
      </w:rPr>
      <w:instrText xml:space="preserve"> PAGE   \* MERGEFORMAT </w:instrText>
    </w:r>
    <w:r w:rsidRPr="001B3981">
      <w:rPr>
        <w:rFonts w:ascii="Franklin Gothic Book" w:hAnsi="Franklin Gothic Book"/>
        <w:b/>
        <w:noProof/>
        <w:color w:val="46328C"/>
        <w:sz w:val="32"/>
      </w:rPr>
      <w:fldChar w:fldCharType="separate"/>
    </w:r>
    <w:r w:rsidR="00C8357B">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820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BEB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9898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F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26A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0032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2AB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8DC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66F65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42638D"/>
    <w:multiLevelType w:val="hybridMultilevel"/>
    <w:tmpl w:val="7FDEF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567CDE"/>
    <w:multiLevelType w:val="hybridMultilevel"/>
    <w:tmpl w:val="6242D81C"/>
    <w:lvl w:ilvl="0" w:tplc="FF68C6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D354CA"/>
    <w:multiLevelType w:val="hybridMultilevel"/>
    <w:tmpl w:val="0CDA5510"/>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D219F1"/>
    <w:multiLevelType w:val="hybridMultilevel"/>
    <w:tmpl w:val="F1E6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D54416"/>
    <w:multiLevelType w:val="hybridMultilevel"/>
    <w:tmpl w:val="68446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0B1897"/>
    <w:multiLevelType w:val="hybridMultilevel"/>
    <w:tmpl w:val="FBCA2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D75EB8"/>
    <w:multiLevelType w:val="hybridMultilevel"/>
    <w:tmpl w:val="27AA2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737AF9"/>
    <w:multiLevelType w:val="hybridMultilevel"/>
    <w:tmpl w:val="D7B02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4E2AD7"/>
    <w:multiLevelType w:val="hybridMultilevel"/>
    <w:tmpl w:val="705CF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3719A8"/>
    <w:multiLevelType w:val="hybridMultilevel"/>
    <w:tmpl w:val="E0F014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E4852"/>
    <w:multiLevelType w:val="hybridMultilevel"/>
    <w:tmpl w:val="855A3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815018"/>
    <w:multiLevelType w:val="hybridMultilevel"/>
    <w:tmpl w:val="AC20F176"/>
    <w:lvl w:ilvl="0" w:tplc="ED24FCDA">
      <w:start w:val="1"/>
      <w:numFmt w:val="bullet"/>
      <w:pStyle w:val="ListBullet2"/>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76AB3"/>
    <w:multiLevelType w:val="hybridMultilevel"/>
    <w:tmpl w:val="65FE3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7479E"/>
    <w:multiLevelType w:val="hybridMultilevel"/>
    <w:tmpl w:val="5582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1646B7"/>
    <w:multiLevelType w:val="hybridMultilevel"/>
    <w:tmpl w:val="4E92B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073A16"/>
    <w:multiLevelType w:val="hybridMultilevel"/>
    <w:tmpl w:val="761C99F8"/>
    <w:lvl w:ilvl="0" w:tplc="2D8A642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200910"/>
    <w:multiLevelType w:val="hybridMultilevel"/>
    <w:tmpl w:val="CC5EE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0F43E7"/>
    <w:multiLevelType w:val="hybridMultilevel"/>
    <w:tmpl w:val="5FD02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315776"/>
    <w:multiLevelType w:val="hybridMultilevel"/>
    <w:tmpl w:val="31727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EE1199"/>
    <w:multiLevelType w:val="hybridMultilevel"/>
    <w:tmpl w:val="87765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92D6E"/>
    <w:multiLevelType w:val="hybridMultilevel"/>
    <w:tmpl w:val="26E2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11CCE"/>
    <w:multiLevelType w:val="hybridMultilevel"/>
    <w:tmpl w:val="9DF0A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3" w15:restartNumberingAfterBreak="0">
    <w:nsid w:val="71871768"/>
    <w:multiLevelType w:val="hybridMultilevel"/>
    <w:tmpl w:val="6178B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EB1615"/>
    <w:multiLevelType w:val="hybridMultilevel"/>
    <w:tmpl w:val="BDFA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11"/>
  </w:num>
  <w:num w:numId="4">
    <w:abstractNumId w:val="12"/>
  </w:num>
  <w:num w:numId="5">
    <w:abstractNumId w:val="25"/>
  </w:num>
  <w:num w:numId="6">
    <w:abstractNumId w:val="26"/>
  </w:num>
  <w:num w:numId="7">
    <w:abstractNumId w:val="24"/>
  </w:num>
  <w:num w:numId="8">
    <w:abstractNumId w:val="27"/>
  </w:num>
  <w:num w:numId="9">
    <w:abstractNumId w:val="28"/>
  </w:num>
  <w:num w:numId="10">
    <w:abstractNumId w:val="30"/>
  </w:num>
  <w:num w:numId="11">
    <w:abstractNumId w:val="23"/>
  </w:num>
  <w:num w:numId="12">
    <w:abstractNumId w:val="33"/>
  </w:num>
  <w:num w:numId="13">
    <w:abstractNumId w:val="18"/>
  </w:num>
  <w:num w:numId="14">
    <w:abstractNumId w:val="29"/>
  </w:num>
  <w:num w:numId="15">
    <w:abstractNumId w:val="10"/>
  </w:num>
  <w:num w:numId="16">
    <w:abstractNumId w:val="19"/>
  </w:num>
  <w:num w:numId="17">
    <w:abstractNumId w:val="22"/>
  </w:num>
  <w:num w:numId="18">
    <w:abstractNumId w:val="13"/>
  </w:num>
  <w:num w:numId="19">
    <w:abstractNumId w:val="16"/>
  </w:num>
  <w:num w:numId="20">
    <w:abstractNumId w:val="31"/>
  </w:num>
  <w:num w:numId="21">
    <w:abstractNumId w:val="20"/>
  </w:num>
  <w:num w:numId="22">
    <w:abstractNumId w:val="14"/>
  </w:num>
  <w:num w:numId="23">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17"/>
  </w:num>
  <w:num w:numId="25">
    <w:abstractNumId w:val="34"/>
  </w:num>
  <w:num w:numId="26">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15"/>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inda Calvert">
    <w15:presenceInfo w15:providerId="AD" w15:userId="S-1-5-21-2064384965-1215889828-285021542-2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24355"/>
    <w:rsid w:val="0004659D"/>
    <w:rsid w:val="000536B4"/>
    <w:rsid w:val="0009174F"/>
    <w:rsid w:val="00092F17"/>
    <w:rsid w:val="000943CF"/>
    <w:rsid w:val="000944F4"/>
    <w:rsid w:val="000B31D2"/>
    <w:rsid w:val="000D0D6B"/>
    <w:rsid w:val="000D1D3A"/>
    <w:rsid w:val="000F1662"/>
    <w:rsid w:val="000F4927"/>
    <w:rsid w:val="001343F1"/>
    <w:rsid w:val="001611C8"/>
    <w:rsid w:val="00163F65"/>
    <w:rsid w:val="00165A58"/>
    <w:rsid w:val="0017217F"/>
    <w:rsid w:val="001773EA"/>
    <w:rsid w:val="00185D8B"/>
    <w:rsid w:val="00187203"/>
    <w:rsid w:val="00187CB9"/>
    <w:rsid w:val="00196C46"/>
    <w:rsid w:val="00197353"/>
    <w:rsid w:val="001A065F"/>
    <w:rsid w:val="001B055C"/>
    <w:rsid w:val="001C786B"/>
    <w:rsid w:val="001D3619"/>
    <w:rsid w:val="001D5777"/>
    <w:rsid w:val="001E398C"/>
    <w:rsid w:val="001E4A7B"/>
    <w:rsid w:val="002060B6"/>
    <w:rsid w:val="002178E7"/>
    <w:rsid w:val="0022608D"/>
    <w:rsid w:val="00237908"/>
    <w:rsid w:val="00237BE6"/>
    <w:rsid w:val="00240545"/>
    <w:rsid w:val="002508B5"/>
    <w:rsid w:val="00250D7D"/>
    <w:rsid w:val="0025174E"/>
    <w:rsid w:val="0025433F"/>
    <w:rsid w:val="00274092"/>
    <w:rsid w:val="00274804"/>
    <w:rsid w:val="002928CA"/>
    <w:rsid w:val="00295754"/>
    <w:rsid w:val="002A0AE5"/>
    <w:rsid w:val="002A1F2B"/>
    <w:rsid w:val="002A2D67"/>
    <w:rsid w:val="002E4059"/>
    <w:rsid w:val="00300132"/>
    <w:rsid w:val="00304E68"/>
    <w:rsid w:val="00305D98"/>
    <w:rsid w:val="003077A3"/>
    <w:rsid w:val="00324ACE"/>
    <w:rsid w:val="00343E5D"/>
    <w:rsid w:val="00350539"/>
    <w:rsid w:val="00350CA0"/>
    <w:rsid w:val="00365700"/>
    <w:rsid w:val="0037415E"/>
    <w:rsid w:val="00374E6A"/>
    <w:rsid w:val="00377837"/>
    <w:rsid w:val="003B0F25"/>
    <w:rsid w:val="003B11FE"/>
    <w:rsid w:val="003C193C"/>
    <w:rsid w:val="003C5A53"/>
    <w:rsid w:val="003C62D9"/>
    <w:rsid w:val="003E02A9"/>
    <w:rsid w:val="003E18D3"/>
    <w:rsid w:val="003E2512"/>
    <w:rsid w:val="003E79A7"/>
    <w:rsid w:val="003F343C"/>
    <w:rsid w:val="00400647"/>
    <w:rsid w:val="004169B7"/>
    <w:rsid w:val="00422042"/>
    <w:rsid w:val="004267FE"/>
    <w:rsid w:val="00435553"/>
    <w:rsid w:val="00440B1D"/>
    <w:rsid w:val="00466C3D"/>
    <w:rsid w:val="00472831"/>
    <w:rsid w:val="00473AF2"/>
    <w:rsid w:val="0047621D"/>
    <w:rsid w:val="004814F0"/>
    <w:rsid w:val="004863E5"/>
    <w:rsid w:val="004971DA"/>
    <w:rsid w:val="004B56D4"/>
    <w:rsid w:val="004B6DBA"/>
    <w:rsid w:val="004C6186"/>
    <w:rsid w:val="004D2CB4"/>
    <w:rsid w:val="004D37FF"/>
    <w:rsid w:val="004D67FC"/>
    <w:rsid w:val="004E1286"/>
    <w:rsid w:val="004E6FF9"/>
    <w:rsid w:val="004F048B"/>
    <w:rsid w:val="004F28D3"/>
    <w:rsid w:val="004F71C1"/>
    <w:rsid w:val="005012A1"/>
    <w:rsid w:val="0055067C"/>
    <w:rsid w:val="005A1631"/>
    <w:rsid w:val="005A4828"/>
    <w:rsid w:val="005B350B"/>
    <w:rsid w:val="005B49C8"/>
    <w:rsid w:val="005C2FB1"/>
    <w:rsid w:val="005C364D"/>
    <w:rsid w:val="005C5A69"/>
    <w:rsid w:val="005D72A8"/>
    <w:rsid w:val="005E075B"/>
    <w:rsid w:val="005E46F3"/>
    <w:rsid w:val="005E7998"/>
    <w:rsid w:val="005F52CD"/>
    <w:rsid w:val="00605B93"/>
    <w:rsid w:val="00615918"/>
    <w:rsid w:val="00622CBA"/>
    <w:rsid w:val="00642B6A"/>
    <w:rsid w:val="00642F3E"/>
    <w:rsid w:val="006810C4"/>
    <w:rsid w:val="00685E40"/>
    <w:rsid w:val="00687D46"/>
    <w:rsid w:val="006A13C0"/>
    <w:rsid w:val="006F4B36"/>
    <w:rsid w:val="00742B1D"/>
    <w:rsid w:val="0074508B"/>
    <w:rsid w:val="00756E66"/>
    <w:rsid w:val="00762F67"/>
    <w:rsid w:val="00773AF4"/>
    <w:rsid w:val="00775B78"/>
    <w:rsid w:val="00783AF4"/>
    <w:rsid w:val="007A46B1"/>
    <w:rsid w:val="007A49C7"/>
    <w:rsid w:val="007A7636"/>
    <w:rsid w:val="007B25E1"/>
    <w:rsid w:val="007C1108"/>
    <w:rsid w:val="007C3F84"/>
    <w:rsid w:val="007C4BF3"/>
    <w:rsid w:val="007D27C3"/>
    <w:rsid w:val="007D7C15"/>
    <w:rsid w:val="007E3CE0"/>
    <w:rsid w:val="007E49B9"/>
    <w:rsid w:val="007F3F7A"/>
    <w:rsid w:val="0080508C"/>
    <w:rsid w:val="0083235F"/>
    <w:rsid w:val="00834A5D"/>
    <w:rsid w:val="00837A92"/>
    <w:rsid w:val="00840722"/>
    <w:rsid w:val="00855E0F"/>
    <w:rsid w:val="008811EE"/>
    <w:rsid w:val="00885D56"/>
    <w:rsid w:val="00887C08"/>
    <w:rsid w:val="008947B6"/>
    <w:rsid w:val="008A7738"/>
    <w:rsid w:val="008B157B"/>
    <w:rsid w:val="008C6815"/>
    <w:rsid w:val="008D125A"/>
    <w:rsid w:val="008E3FA8"/>
    <w:rsid w:val="008E455E"/>
    <w:rsid w:val="008F0B77"/>
    <w:rsid w:val="00914031"/>
    <w:rsid w:val="009279B7"/>
    <w:rsid w:val="00930FD4"/>
    <w:rsid w:val="00947F40"/>
    <w:rsid w:val="009500F6"/>
    <w:rsid w:val="00952D80"/>
    <w:rsid w:val="00967EF5"/>
    <w:rsid w:val="009954E1"/>
    <w:rsid w:val="009C548A"/>
    <w:rsid w:val="009D5614"/>
    <w:rsid w:val="009F6DC7"/>
    <w:rsid w:val="009F72FC"/>
    <w:rsid w:val="00A01FF8"/>
    <w:rsid w:val="00A054B0"/>
    <w:rsid w:val="00A16F35"/>
    <w:rsid w:val="00A203A6"/>
    <w:rsid w:val="00A22AF6"/>
    <w:rsid w:val="00A24FEA"/>
    <w:rsid w:val="00A52791"/>
    <w:rsid w:val="00A57719"/>
    <w:rsid w:val="00A85FFB"/>
    <w:rsid w:val="00AA09C1"/>
    <w:rsid w:val="00AA2307"/>
    <w:rsid w:val="00AA2CF8"/>
    <w:rsid w:val="00AA5E9A"/>
    <w:rsid w:val="00AA5FB7"/>
    <w:rsid w:val="00AC44D0"/>
    <w:rsid w:val="00AE5E03"/>
    <w:rsid w:val="00AF317D"/>
    <w:rsid w:val="00B002F7"/>
    <w:rsid w:val="00B201F1"/>
    <w:rsid w:val="00B542EB"/>
    <w:rsid w:val="00B80875"/>
    <w:rsid w:val="00B83D91"/>
    <w:rsid w:val="00B84F4F"/>
    <w:rsid w:val="00B8626A"/>
    <w:rsid w:val="00B95FD8"/>
    <w:rsid w:val="00BB4229"/>
    <w:rsid w:val="00BC5C02"/>
    <w:rsid w:val="00BD0EA6"/>
    <w:rsid w:val="00BD73A8"/>
    <w:rsid w:val="00BD7C4A"/>
    <w:rsid w:val="00C00596"/>
    <w:rsid w:val="00C40537"/>
    <w:rsid w:val="00C4159B"/>
    <w:rsid w:val="00C42CAF"/>
    <w:rsid w:val="00C7722A"/>
    <w:rsid w:val="00C82AD1"/>
    <w:rsid w:val="00C8357B"/>
    <w:rsid w:val="00C83719"/>
    <w:rsid w:val="00C83CA0"/>
    <w:rsid w:val="00CB07E5"/>
    <w:rsid w:val="00CB6753"/>
    <w:rsid w:val="00CD028C"/>
    <w:rsid w:val="00CD2F8E"/>
    <w:rsid w:val="00CD7497"/>
    <w:rsid w:val="00CE173B"/>
    <w:rsid w:val="00CF2D2F"/>
    <w:rsid w:val="00CF3CB2"/>
    <w:rsid w:val="00CF532B"/>
    <w:rsid w:val="00D076BD"/>
    <w:rsid w:val="00D16A70"/>
    <w:rsid w:val="00D3715A"/>
    <w:rsid w:val="00D44CC8"/>
    <w:rsid w:val="00D47F40"/>
    <w:rsid w:val="00D560B4"/>
    <w:rsid w:val="00D60993"/>
    <w:rsid w:val="00D610BC"/>
    <w:rsid w:val="00D62472"/>
    <w:rsid w:val="00D75AC2"/>
    <w:rsid w:val="00DA2143"/>
    <w:rsid w:val="00DA5E8E"/>
    <w:rsid w:val="00DB14C9"/>
    <w:rsid w:val="00DB1695"/>
    <w:rsid w:val="00DD3C0C"/>
    <w:rsid w:val="00DD40FA"/>
    <w:rsid w:val="00DE630C"/>
    <w:rsid w:val="00DF2C28"/>
    <w:rsid w:val="00DF4C0D"/>
    <w:rsid w:val="00E0071D"/>
    <w:rsid w:val="00E06D39"/>
    <w:rsid w:val="00E33F27"/>
    <w:rsid w:val="00E3611E"/>
    <w:rsid w:val="00E421E2"/>
    <w:rsid w:val="00E441B4"/>
    <w:rsid w:val="00E603CF"/>
    <w:rsid w:val="00E70C99"/>
    <w:rsid w:val="00E83ABC"/>
    <w:rsid w:val="00EC2B73"/>
    <w:rsid w:val="00EC473D"/>
    <w:rsid w:val="00EF0025"/>
    <w:rsid w:val="00EF0633"/>
    <w:rsid w:val="00F13A9F"/>
    <w:rsid w:val="00F14346"/>
    <w:rsid w:val="00F167AD"/>
    <w:rsid w:val="00F22B1C"/>
    <w:rsid w:val="00F23289"/>
    <w:rsid w:val="00F34115"/>
    <w:rsid w:val="00F35218"/>
    <w:rsid w:val="00F43EF5"/>
    <w:rsid w:val="00F45D57"/>
    <w:rsid w:val="00F53533"/>
    <w:rsid w:val="00F56778"/>
    <w:rsid w:val="00F65F10"/>
    <w:rsid w:val="00F667AA"/>
    <w:rsid w:val="00F7346B"/>
    <w:rsid w:val="00F853E0"/>
    <w:rsid w:val="00F8741B"/>
    <w:rsid w:val="00FA1552"/>
    <w:rsid w:val="00FA42F2"/>
    <w:rsid w:val="00FB22C1"/>
    <w:rsid w:val="00FC2EC2"/>
    <w:rsid w:val="00FC412A"/>
    <w:rsid w:val="00FC4EFB"/>
    <w:rsid w:val="00FE764C"/>
    <w:rsid w:val="00FE7808"/>
    <w:rsid w:val="00FF3534"/>
    <w:rsid w:val="00FF3EB1"/>
    <w:rsid w:val="00FF59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AD0D147"/>
  <w15:docId w15:val="{F46BC956-EA10-47EC-A4AE-95CA5376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AD1"/>
    <w:pPr>
      <w:spacing w:after="0" w:line="240" w:lineRule="auto"/>
    </w:p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092F17"/>
    <w:pPr>
      <w:keepNext/>
      <w:keepLines/>
      <w:spacing w:before="4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E06D39"/>
    <w:rPr>
      <w:sz w:val="16"/>
      <w:szCs w:val="16"/>
    </w:rPr>
  </w:style>
  <w:style w:type="paragraph" w:styleId="CommentText">
    <w:name w:val="annotation text"/>
    <w:basedOn w:val="Normal"/>
    <w:link w:val="CommentTextChar"/>
    <w:uiPriority w:val="99"/>
    <w:semiHidden/>
    <w:unhideWhenUsed/>
    <w:rsid w:val="00E06D39"/>
    <w:rPr>
      <w:sz w:val="20"/>
      <w:szCs w:val="20"/>
    </w:rPr>
  </w:style>
  <w:style w:type="character" w:customStyle="1" w:styleId="CommentTextChar">
    <w:name w:val="Comment Text Char"/>
    <w:basedOn w:val="DefaultParagraphFont"/>
    <w:link w:val="CommentText"/>
    <w:uiPriority w:val="99"/>
    <w:semiHidden/>
    <w:rsid w:val="00E06D39"/>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06D39"/>
    <w:rPr>
      <w:b/>
      <w:bCs/>
    </w:rPr>
  </w:style>
  <w:style w:type="character" w:customStyle="1" w:styleId="CommentSubjectChar">
    <w:name w:val="Comment Subject Char"/>
    <w:basedOn w:val="CommentTextChar"/>
    <w:link w:val="CommentSubject"/>
    <w:uiPriority w:val="99"/>
    <w:semiHidden/>
    <w:rsid w:val="00E06D39"/>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rsid w:val="00092F17"/>
    <w:rPr>
      <w:rFonts w:asciiTheme="majorHAnsi" w:eastAsiaTheme="majorEastAsia" w:hAnsiTheme="majorHAnsi" w:cstheme="majorBidi"/>
      <w:color w:val="1E1226" w:themeColor="accent1" w:themeShade="BF"/>
      <w:sz w:val="24"/>
      <w:lang w:val="en-AU" w:eastAsia="en-AU"/>
    </w:rPr>
  </w:style>
  <w:style w:type="paragraph" w:styleId="ListBullet">
    <w:name w:val="List Bullet"/>
    <w:basedOn w:val="ListParagraph"/>
    <w:uiPriority w:val="99"/>
    <w:unhideWhenUsed/>
    <w:qFormat/>
    <w:rsid w:val="004F048B"/>
    <w:pPr>
      <w:numPr>
        <w:numId w:val="5"/>
      </w:numPr>
      <w:spacing w:after="120"/>
      <w:ind w:left="357" w:hanging="357"/>
    </w:pPr>
    <w:rPr>
      <w:rFonts w:asciiTheme="minorHAnsi" w:hAnsiTheme="minorHAnsi"/>
      <w:sz w:val="20"/>
      <w:szCs w:val="20"/>
    </w:rPr>
  </w:style>
  <w:style w:type="paragraph" w:styleId="Quote">
    <w:name w:val="Quote"/>
    <w:basedOn w:val="Normal"/>
    <w:next w:val="Normal"/>
    <w:link w:val="QuoteChar"/>
    <w:uiPriority w:val="29"/>
    <w:rsid w:val="005C2FB1"/>
    <w:pPr>
      <w:spacing w:after="120" w:line="264" w:lineRule="auto"/>
    </w:pPr>
    <w:rPr>
      <w:rFonts w:ascii="Calibri" w:eastAsiaTheme="minorEastAsia" w:hAnsi="Calibri" w:cstheme="minorBidi"/>
      <w:i/>
      <w:iCs/>
      <w:color w:val="000000" w:themeColor="text1"/>
    </w:rPr>
  </w:style>
  <w:style w:type="character" w:customStyle="1" w:styleId="QuoteChar">
    <w:name w:val="Quote Char"/>
    <w:basedOn w:val="DefaultParagraphFont"/>
    <w:link w:val="Quote"/>
    <w:uiPriority w:val="29"/>
    <w:rsid w:val="005C2FB1"/>
    <w:rPr>
      <w:rFonts w:ascii="Calibri" w:eastAsiaTheme="minorEastAsia" w:hAnsi="Calibri" w:cstheme="minorBidi"/>
      <w:i/>
      <w:iCs/>
      <w:color w:val="000000" w:themeColor="text1"/>
      <w:szCs w:val="22"/>
      <w:lang w:val="en-AU"/>
    </w:rPr>
  </w:style>
  <w:style w:type="paragraph" w:customStyle="1" w:styleId="Tableheadings">
    <w:name w:val="Table headings"/>
    <w:basedOn w:val="Normal"/>
    <w:qFormat/>
    <w:rsid w:val="00967EF5"/>
    <w:pPr>
      <w:spacing w:line="276" w:lineRule="auto"/>
    </w:pPr>
    <w:rPr>
      <w:rFonts w:asciiTheme="minorHAnsi" w:hAnsiTheme="minorHAnsi"/>
      <w:b/>
      <w:sz w:val="20"/>
      <w:szCs w:val="20"/>
    </w:rPr>
  </w:style>
  <w:style w:type="paragraph" w:styleId="NoSpacing">
    <w:name w:val="No Spacing"/>
    <w:uiPriority w:val="1"/>
    <w:qFormat/>
    <w:rsid w:val="00967EF5"/>
    <w:pPr>
      <w:spacing w:after="0" w:line="240" w:lineRule="auto"/>
    </w:pPr>
    <w:rPr>
      <w:rFonts w:ascii="Times New Roman" w:eastAsia="Times New Roman" w:hAnsi="Times New Roman" w:cs="Times New Roman"/>
      <w:sz w:val="24"/>
      <w:lang w:val="en-AU" w:eastAsia="en-AU"/>
    </w:rPr>
  </w:style>
  <w:style w:type="paragraph" w:styleId="ListBullet2">
    <w:name w:val="List Bullet 2"/>
    <w:basedOn w:val="ListParagraph"/>
    <w:uiPriority w:val="99"/>
    <w:unhideWhenUsed/>
    <w:rsid w:val="00C82AD1"/>
    <w:pPr>
      <w:numPr>
        <w:numId w:val="2"/>
      </w:numPr>
      <w:spacing w:after="120"/>
      <w:ind w:left="714" w:hanging="357"/>
    </w:pPr>
    <w:rPr>
      <w:rFonts w:asciiTheme="minorHAnsi" w:eastAsia="Times New Roman" w:hAnsiTheme="minorHAnsi"/>
      <w:sz w:val="20"/>
      <w:szCs w:val="20"/>
    </w:rPr>
  </w:style>
  <w:style w:type="character" w:styleId="Hyperlink">
    <w:name w:val="Hyperlink"/>
    <w:rsid w:val="00350CA0"/>
    <w:rPr>
      <w:rFonts w:asciiTheme="minorHAnsi" w:hAnsiTheme="minorHAnsi"/>
      <w:color w:val="580F8B"/>
      <w:sz w:val="16"/>
      <w:u w:val="single" w:color="5D3972" w:themeColor="accent2"/>
    </w:rPr>
  </w:style>
  <w:style w:type="paragraph" w:styleId="Revision">
    <w:name w:val="Revision"/>
    <w:hidden/>
    <w:uiPriority w:val="99"/>
    <w:semiHidden/>
    <w:rsid w:val="00FA4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10C0-A458-425A-823E-849477D8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Ognenis</dc:creator>
  <cp:lastModifiedBy>Belinda Calvert</cp:lastModifiedBy>
  <cp:revision>3</cp:revision>
  <cp:lastPrinted>2020-11-13T01:42:00Z</cp:lastPrinted>
  <dcterms:created xsi:type="dcterms:W3CDTF">2020-11-13T01:43:00Z</dcterms:created>
  <dcterms:modified xsi:type="dcterms:W3CDTF">2020-11-19T06:31:00Z</dcterms:modified>
</cp:coreProperties>
</file>