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03" w:rsidRDefault="002A471E" w:rsidP="00216D89">
      <w:pPr>
        <w:pStyle w:val="Title"/>
        <w:spacing w:before="10500" w:line="276" w:lineRule="auto"/>
        <w:rPr>
          <w:rFonts w:ascii="Calibri" w:hAnsi="Calibri"/>
          <w:sz w:val="28"/>
          <w:szCs w:val="28"/>
        </w:rPr>
      </w:pPr>
      <w:r w:rsidRPr="00042703">
        <w:rPr>
          <w:noProof/>
          <w:lang w:eastAsia="en-AU"/>
        </w:rPr>
        <w:drawing>
          <wp:anchor distT="0" distB="0" distL="114300" distR="114300" simplePos="0" relativeHeight="251658240" behindDoc="1" locked="0" layoutInCell="1" allowOverlap="1" wp14:anchorId="4385BBFB" wp14:editId="7C8962F2">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977">
        <w:t>Economics</w:t>
      </w:r>
    </w:p>
    <w:p w:rsidR="00630C74" w:rsidRPr="00042703" w:rsidRDefault="00630C74" w:rsidP="00216D89">
      <w:pPr>
        <w:pStyle w:val="Title"/>
        <w:spacing w:line="276" w:lineRule="auto"/>
      </w:pPr>
      <w:r w:rsidRPr="00042703">
        <w:rPr>
          <w:sz w:val="28"/>
          <w:szCs w:val="28"/>
        </w:rPr>
        <w:t>General course</w:t>
      </w:r>
    </w:p>
    <w:p w:rsidR="00C51F9A" w:rsidRPr="00042703" w:rsidRDefault="0002336A" w:rsidP="00216D89">
      <w:pPr>
        <w:pStyle w:val="Subtitle"/>
        <w:spacing w:line="276" w:lineRule="auto"/>
        <w:rPr>
          <w:rFonts w:asciiTheme="minorHAnsi" w:hAnsiTheme="minorHAnsi"/>
        </w:rPr>
      </w:pPr>
      <w:r w:rsidRPr="00042703">
        <w:rPr>
          <w:rFonts w:asciiTheme="minorHAnsi" w:hAnsiTheme="minorHAnsi"/>
        </w:rPr>
        <w:t>Year 11</w:t>
      </w:r>
      <w:r w:rsidR="00D0711B" w:rsidRPr="00042703">
        <w:rPr>
          <w:rFonts w:asciiTheme="minorHAnsi" w:hAnsiTheme="minorHAnsi"/>
        </w:rPr>
        <w:t xml:space="preserve"> syllabus</w:t>
      </w:r>
    </w:p>
    <w:p w:rsidR="002C05E5" w:rsidRPr="00042703" w:rsidRDefault="002C05E5" w:rsidP="00216D89">
      <w:pPr>
        <w:spacing w:line="276" w:lineRule="auto"/>
      </w:pPr>
      <w:r w:rsidRPr="00042703">
        <w:br w:type="page"/>
      </w:r>
    </w:p>
    <w:p w:rsidR="00387705" w:rsidRDefault="00387705" w:rsidP="00387705">
      <w:pPr>
        <w:spacing w:before="10800" w:after="80"/>
        <w:ind w:right="68"/>
        <w:jc w:val="both"/>
        <w:rPr>
          <w:rFonts w:eastAsia="Times New Roman" w:cs="Arial"/>
          <w:b/>
          <w:bCs/>
          <w:sz w:val="20"/>
          <w:szCs w:val="20"/>
          <w:lang w:eastAsia="en-AU"/>
        </w:rPr>
      </w:pPr>
    </w:p>
    <w:p w:rsidR="00387705" w:rsidRPr="008437E5" w:rsidRDefault="00387705" w:rsidP="00387705">
      <w:pPr>
        <w:spacing w:before="10800" w:after="80"/>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387705" w:rsidRPr="008437E5" w:rsidRDefault="00387705" w:rsidP="00387705">
      <w:pPr>
        <w:spacing w:before="80" w:after="80"/>
        <w:ind w:right="68"/>
        <w:jc w:val="both"/>
        <w:rPr>
          <w:rFonts w:eastAsia="Times New Roman" w:cs="Times New Roman"/>
          <w:bCs/>
          <w:sz w:val="16"/>
          <w:szCs w:val="16"/>
        </w:rPr>
      </w:pPr>
      <w:r w:rsidRPr="008437E5">
        <w:rPr>
          <w:rFonts w:eastAsia="Times New Roman" w:cs="Times New Roman"/>
          <w:bCs/>
          <w:sz w:val="16"/>
          <w:szCs w:val="16"/>
        </w:rPr>
        <w:t xml:space="preserve">This syllabus is effective from 1 January </w:t>
      </w:r>
      <w:r>
        <w:rPr>
          <w:rFonts w:eastAsia="Times New Roman" w:cs="Times New Roman"/>
          <w:bCs/>
          <w:sz w:val="16"/>
          <w:szCs w:val="16"/>
        </w:rPr>
        <w:t>2018</w:t>
      </w:r>
      <w:r w:rsidRPr="008437E5">
        <w:rPr>
          <w:rFonts w:eastAsia="Times New Roman" w:cs="Times New Roman"/>
          <w:bCs/>
          <w:sz w:val="16"/>
          <w:szCs w:val="16"/>
        </w:rPr>
        <w:t>.</w:t>
      </w:r>
    </w:p>
    <w:p w:rsidR="00387705" w:rsidRPr="008437E5" w:rsidRDefault="00387705" w:rsidP="00387705">
      <w:pPr>
        <w:spacing w:after="80"/>
        <w:ind w:right="68"/>
        <w:jc w:val="both"/>
        <w:rPr>
          <w:rFonts w:eastAsia="Times New Roman" w:cs="Times New Roman"/>
          <w:sz w:val="16"/>
        </w:rPr>
      </w:pPr>
      <w:r w:rsidRPr="008437E5">
        <w:rPr>
          <w:rFonts w:eastAsia="Times New Roman" w:cs="Times New Roman"/>
          <w:sz w:val="16"/>
        </w:rPr>
        <w:t>Users of this syllabus are respons</w:t>
      </w:r>
      <w:r>
        <w:rPr>
          <w:rFonts w:eastAsia="Times New Roman" w:cs="Times New Roman"/>
          <w:sz w:val="16"/>
        </w:rPr>
        <w:t>ible for checking its currency.</w:t>
      </w:r>
    </w:p>
    <w:p w:rsidR="00387705" w:rsidRPr="008437E5" w:rsidRDefault="00387705" w:rsidP="00387705">
      <w:pPr>
        <w:spacing w:after="80"/>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387705" w:rsidRPr="008437E5" w:rsidRDefault="00387705" w:rsidP="00387705">
      <w:pPr>
        <w:spacing w:after="40"/>
        <w:ind w:right="68"/>
        <w:jc w:val="both"/>
        <w:rPr>
          <w:rFonts w:eastAsia="Times New Roman" w:cs="Arial"/>
          <w:b/>
          <w:sz w:val="12"/>
          <w:szCs w:val="12"/>
          <w:lang w:eastAsia="en-AU"/>
        </w:rPr>
      </w:pPr>
      <w:r w:rsidRPr="008437E5">
        <w:rPr>
          <w:rFonts w:eastAsia="Times New Roman" w:cs="Arial"/>
          <w:b/>
          <w:sz w:val="12"/>
          <w:szCs w:val="12"/>
          <w:lang w:eastAsia="en-AU"/>
        </w:rPr>
        <w:t>Copyright</w:t>
      </w:r>
    </w:p>
    <w:p w:rsidR="00387705" w:rsidRPr="008437E5" w:rsidRDefault="00387705" w:rsidP="00387705">
      <w:pPr>
        <w:spacing w:after="0"/>
        <w:ind w:right="68"/>
        <w:jc w:val="both"/>
        <w:rPr>
          <w:rFonts w:eastAsia="Times New Roman" w:cs="Arial"/>
          <w:sz w:val="12"/>
          <w:szCs w:val="12"/>
          <w:lang w:eastAsia="en-AU"/>
        </w:rPr>
      </w:pPr>
      <w:r w:rsidRPr="008437E5">
        <w:rPr>
          <w:rFonts w:eastAsia="Times New Roman" w:cs="Arial"/>
          <w:sz w:val="12"/>
          <w:szCs w:val="12"/>
          <w:lang w:eastAsia="en-AU"/>
        </w:rPr>
        <w:t xml:space="preserve">© School Curriculum and Standards Authority, </w:t>
      </w:r>
      <w:r>
        <w:rPr>
          <w:rFonts w:eastAsia="Times New Roman" w:cs="Arial"/>
          <w:sz w:val="12"/>
          <w:szCs w:val="12"/>
          <w:lang w:eastAsia="en-AU"/>
        </w:rPr>
        <w:t>2018</w:t>
      </w:r>
    </w:p>
    <w:p w:rsidR="00387705" w:rsidRPr="008437E5" w:rsidRDefault="00387705" w:rsidP="00387705">
      <w:pPr>
        <w:spacing w:after="80"/>
        <w:ind w:right="68"/>
        <w:jc w:val="both"/>
        <w:rPr>
          <w:rFonts w:eastAsia="Times New Roman" w:cs="Arial"/>
          <w:sz w:val="12"/>
          <w:szCs w:val="12"/>
          <w:lang w:eastAsia="en-AU"/>
        </w:rPr>
      </w:pPr>
      <w:r w:rsidRPr="008437E5">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387705" w:rsidRPr="008437E5" w:rsidRDefault="00387705" w:rsidP="00387705">
      <w:pPr>
        <w:spacing w:after="80"/>
        <w:ind w:right="68"/>
        <w:jc w:val="both"/>
        <w:rPr>
          <w:rFonts w:eastAsia="Times New Roman" w:cs="Arial"/>
          <w:sz w:val="12"/>
          <w:szCs w:val="12"/>
          <w:lang w:eastAsia="en-AU"/>
        </w:rPr>
      </w:pPr>
      <w:r w:rsidRPr="008437E5">
        <w:rPr>
          <w:rFonts w:eastAsia="Times New Roman" w:cs="Arial"/>
          <w:sz w:val="12"/>
          <w:szCs w:val="12"/>
          <w:lang w:eastAsia="en-AU"/>
        </w:rPr>
        <w:t xml:space="preserve">Copying or communication for any other purpose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permission of the copyright owners.</w:t>
      </w:r>
    </w:p>
    <w:p w:rsidR="009C304B" w:rsidRPr="00387705" w:rsidRDefault="00387705" w:rsidP="00387705">
      <w:pPr>
        <w:spacing w:after="0"/>
        <w:ind w:right="68"/>
        <w:jc w:val="both"/>
        <w:rPr>
          <w:rFonts w:eastAsia="Times New Roman" w:cs="Arial"/>
          <w:b/>
          <w:bCs/>
          <w:sz w:val="12"/>
          <w:szCs w:val="12"/>
          <w:lang w:eastAsia="en-AU"/>
        </w:rPr>
      </w:pPr>
      <w:r w:rsidRPr="008437E5">
        <w:rPr>
          <w:rFonts w:eastAsia="Times New Roman" w:cs="Arial"/>
          <w:sz w:val="12"/>
          <w:szCs w:val="12"/>
          <w:lang w:eastAsia="en-AU"/>
        </w:rPr>
        <w:t xml:space="preserve">Any content in this document that has been derived from the Australian Curriculum may be used under the terms of the </w:t>
      </w:r>
      <w:r w:rsidRPr="008437E5">
        <w:rPr>
          <w:rFonts w:eastAsia="Times New Roman" w:cs="Arial"/>
          <w:iCs/>
          <w:sz w:val="12"/>
          <w:szCs w:val="12"/>
          <w:lang w:eastAsia="en-AU"/>
        </w:rPr>
        <w:t>Creative Commons</w:t>
      </w:r>
      <w:r w:rsidRPr="008437E5">
        <w:rPr>
          <w:rFonts w:eastAsia="Times New Roman" w:cs="Arial"/>
          <w:iCs/>
          <w:color w:val="1F497D"/>
          <w:sz w:val="12"/>
          <w:szCs w:val="12"/>
          <w:lang w:eastAsia="en-AU"/>
        </w:rPr>
        <w:t xml:space="preserve"> </w:t>
      </w:r>
      <w:hyperlink r:id="rId9" w:history="1">
        <w:r w:rsidRPr="008437E5">
          <w:rPr>
            <w:rFonts w:eastAsia="Times New Roman" w:cs="Arial"/>
            <w:iCs/>
            <w:color w:val="3333CC"/>
            <w:sz w:val="12"/>
            <w:szCs w:val="12"/>
            <w:lang w:eastAsia="en-AU"/>
          </w:rPr>
          <w:t>Attribution 4.0 International (CC BY)</w:t>
        </w:r>
      </w:hyperlink>
      <w:r w:rsidRPr="008437E5">
        <w:rPr>
          <w:rFonts w:ascii="Arial" w:eastAsia="Times New Roman" w:hAnsi="Arial" w:cs="Arial"/>
          <w:i/>
          <w:iCs/>
          <w:color w:val="1F497D"/>
          <w:szCs w:val="16"/>
          <w:lang w:eastAsia="en-AU"/>
        </w:rPr>
        <w:t xml:space="preserve"> </w:t>
      </w:r>
      <w:r>
        <w:rPr>
          <w:rFonts w:eastAsia="Times New Roman" w:cs="Arial"/>
          <w:iCs/>
          <w:sz w:val="12"/>
          <w:szCs w:val="12"/>
          <w:lang w:eastAsia="en-AU"/>
        </w:rPr>
        <w:t>licence.</w:t>
      </w:r>
    </w:p>
    <w:p w:rsidR="00387705" w:rsidRPr="00042703" w:rsidRDefault="00387705" w:rsidP="00216D89">
      <w:pPr>
        <w:spacing w:line="276" w:lineRule="auto"/>
        <w:rPr>
          <w:sz w:val="14"/>
        </w:rPr>
        <w:sectPr w:rsidR="00387705" w:rsidRPr="00042703"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216D89">
      <w:pPr>
        <w:pBdr>
          <w:bottom w:val="single" w:sz="8" w:space="1" w:color="5C815C" w:themeColor="accent3" w:themeShade="BF"/>
        </w:pBdr>
        <w:spacing w:line="276" w:lineRule="auto"/>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p w:rsidR="00676639" w:rsidRDefault="0038541F" w:rsidP="005549A4">
      <w:pPr>
        <w:pStyle w:val="TOC1"/>
        <w:rPr>
          <w:rFonts w:asciiTheme="minorHAnsi" w:hAnsiTheme="minorHAnsi"/>
          <w:noProof/>
          <w:sz w:val="22"/>
          <w:lang w:eastAsia="en-AU"/>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381793593" w:history="1">
        <w:r w:rsidR="00676639" w:rsidRPr="00707C28">
          <w:rPr>
            <w:rStyle w:val="Hyperlink"/>
            <w:noProof/>
          </w:rPr>
          <w:t>Rationale</w:t>
        </w:r>
        <w:r w:rsidR="00676639">
          <w:rPr>
            <w:noProof/>
            <w:webHidden/>
          </w:rPr>
          <w:tab/>
        </w:r>
        <w:r w:rsidR="00676639">
          <w:rPr>
            <w:noProof/>
            <w:webHidden/>
          </w:rPr>
          <w:fldChar w:fldCharType="begin"/>
        </w:r>
        <w:r w:rsidR="00676639">
          <w:rPr>
            <w:noProof/>
            <w:webHidden/>
          </w:rPr>
          <w:instrText xml:space="preserve"> PAGEREF _Toc381793593 \h </w:instrText>
        </w:r>
        <w:r w:rsidR="00676639">
          <w:rPr>
            <w:noProof/>
            <w:webHidden/>
          </w:rPr>
        </w:r>
        <w:r w:rsidR="00676639">
          <w:rPr>
            <w:noProof/>
            <w:webHidden/>
          </w:rPr>
          <w:fldChar w:fldCharType="separate"/>
        </w:r>
        <w:r w:rsidR="00676639">
          <w:rPr>
            <w:noProof/>
            <w:webHidden/>
          </w:rPr>
          <w:t>1</w:t>
        </w:r>
        <w:r w:rsidR="00676639">
          <w:rPr>
            <w:noProof/>
            <w:webHidden/>
          </w:rPr>
          <w:fldChar w:fldCharType="end"/>
        </w:r>
      </w:hyperlink>
    </w:p>
    <w:p w:rsidR="00676639" w:rsidRDefault="00B362C4" w:rsidP="005549A4">
      <w:pPr>
        <w:pStyle w:val="TOC1"/>
        <w:rPr>
          <w:rFonts w:asciiTheme="minorHAnsi" w:hAnsiTheme="minorHAnsi"/>
          <w:noProof/>
          <w:sz w:val="22"/>
          <w:lang w:eastAsia="en-AU"/>
        </w:rPr>
      </w:pPr>
      <w:hyperlink w:anchor="_Toc381793594" w:history="1">
        <w:r w:rsidR="00676639" w:rsidRPr="00707C28">
          <w:rPr>
            <w:rStyle w:val="Hyperlink"/>
            <w:noProof/>
          </w:rPr>
          <w:t>Course outcomes</w:t>
        </w:r>
        <w:r w:rsidR="00676639">
          <w:rPr>
            <w:noProof/>
            <w:webHidden/>
          </w:rPr>
          <w:tab/>
        </w:r>
        <w:r w:rsidR="00676639">
          <w:rPr>
            <w:noProof/>
            <w:webHidden/>
          </w:rPr>
          <w:fldChar w:fldCharType="begin"/>
        </w:r>
        <w:r w:rsidR="00676639">
          <w:rPr>
            <w:noProof/>
            <w:webHidden/>
          </w:rPr>
          <w:instrText xml:space="preserve"> PAGEREF _Toc381793594 \h </w:instrText>
        </w:r>
        <w:r w:rsidR="00676639">
          <w:rPr>
            <w:noProof/>
            <w:webHidden/>
          </w:rPr>
        </w:r>
        <w:r w:rsidR="00676639">
          <w:rPr>
            <w:noProof/>
            <w:webHidden/>
          </w:rPr>
          <w:fldChar w:fldCharType="separate"/>
        </w:r>
        <w:r w:rsidR="00676639">
          <w:rPr>
            <w:noProof/>
            <w:webHidden/>
          </w:rPr>
          <w:t>2</w:t>
        </w:r>
        <w:r w:rsidR="00676639">
          <w:rPr>
            <w:noProof/>
            <w:webHidden/>
          </w:rPr>
          <w:fldChar w:fldCharType="end"/>
        </w:r>
      </w:hyperlink>
    </w:p>
    <w:p w:rsidR="00676639" w:rsidRDefault="00B362C4" w:rsidP="005549A4">
      <w:pPr>
        <w:pStyle w:val="TOC1"/>
        <w:rPr>
          <w:rFonts w:asciiTheme="minorHAnsi" w:hAnsiTheme="minorHAnsi"/>
          <w:noProof/>
          <w:sz w:val="22"/>
          <w:lang w:eastAsia="en-AU"/>
        </w:rPr>
      </w:pPr>
      <w:hyperlink w:anchor="_Toc381793595" w:history="1">
        <w:r w:rsidR="00676639" w:rsidRPr="00707C28">
          <w:rPr>
            <w:rStyle w:val="Hyperlink"/>
            <w:noProof/>
          </w:rPr>
          <w:t>Organisation</w:t>
        </w:r>
        <w:r w:rsidR="00676639">
          <w:rPr>
            <w:noProof/>
            <w:webHidden/>
          </w:rPr>
          <w:tab/>
        </w:r>
        <w:r w:rsidR="00676639">
          <w:rPr>
            <w:noProof/>
            <w:webHidden/>
          </w:rPr>
          <w:fldChar w:fldCharType="begin"/>
        </w:r>
        <w:r w:rsidR="00676639">
          <w:rPr>
            <w:noProof/>
            <w:webHidden/>
          </w:rPr>
          <w:instrText xml:space="preserve"> PAGEREF _Toc381793595 \h </w:instrText>
        </w:r>
        <w:r w:rsidR="00676639">
          <w:rPr>
            <w:noProof/>
            <w:webHidden/>
          </w:rPr>
        </w:r>
        <w:r w:rsidR="00676639">
          <w:rPr>
            <w:noProof/>
            <w:webHidden/>
          </w:rPr>
          <w:fldChar w:fldCharType="separate"/>
        </w:r>
        <w:r w:rsidR="00676639">
          <w:rPr>
            <w:noProof/>
            <w:webHidden/>
          </w:rPr>
          <w:t>3</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596" w:history="1">
        <w:r w:rsidR="00676639" w:rsidRPr="00707C28">
          <w:rPr>
            <w:rStyle w:val="Hyperlink"/>
            <w:noProof/>
          </w:rPr>
          <w:t>Structure of the syllabus</w:t>
        </w:r>
        <w:r w:rsidR="00676639">
          <w:rPr>
            <w:noProof/>
            <w:webHidden/>
          </w:rPr>
          <w:tab/>
        </w:r>
        <w:r w:rsidR="00676639">
          <w:rPr>
            <w:noProof/>
            <w:webHidden/>
          </w:rPr>
          <w:fldChar w:fldCharType="begin"/>
        </w:r>
        <w:r w:rsidR="00676639">
          <w:rPr>
            <w:noProof/>
            <w:webHidden/>
          </w:rPr>
          <w:instrText xml:space="preserve"> PAGEREF _Toc381793596 \h </w:instrText>
        </w:r>
        <w:r w:rsidR="00676639">
          <w:rPr>
            <w:noProof/>
            <w:webHidden/>
          </w:rPr>
        </w:r>
        <w:r w:rsidR="00676639">
          <w:rPr>
            <w:noProof/>
            <w:webHidden/>
          </w:rPr>
          <w:fldChar w:fldCharType="separate"/>
        </w:r>
        <w:r w:rsidR="00676639">
          <w:rPr>
            <w:noProof/>
            <w:webHidden/>
          </w:rPr>
          <w:t>3</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597" w:history="1">
        <w:r w:rsidR="00676639" w:rsidRPr="00707C28">
          <w:rPr>
            <w:rStyle w:val="Hyperlink"/>
            <w:noProof/>
          </w:rPr>
          <w:t>Organisation of content</w:t>
        </w:r>
        <w:r w:rsidR="00676639">
          <w:rPr>
            <w:noProof/>
            <w:webHidden/>
          </w:rPr>
          <w:tab/>
        </w:r>
        <w:r w:rsidR="00676639">
          <w:rPr>
            <w:noProof/>
            <w:webHidden/>
          </w:rPr>
          <w:fldChar w:fldCharType="begin"/>
        </w:r>
        <w:r w:rsidR="00676639">
          <w:rPr>
            <w:noProof/>
            <w:webHidden/>
          </w:rPr>
          <w:instrText xml:space="preserve"> PAGEREF _Toc381793597 \h </w:instrText>
        </w:r>
        <w:r w:rsidR="00676639">
          <w:rPr>
            <w:noProof/>
            <w:webHidden/>
          </w:rPr>
        </w:r>
        <w:r w:rsidR="00676639">
          <w:rPr>
            <w:noProof/>
            <w:webHidden/>
          </w:rPr>
          <w:fldChar w:fldCharType="separate"/>
        </w:r>
        <w:r w:rsidR="00676639">
          <w:rPr>
            <w:noProof/>
            <w:webHidden/>
          </w:rPr>
          <w:t>3</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598" w:history="1">
        <w:r w:rsidR="00676639" w:rsidRPr="00707C28">
          <w:rPr>
            <w:rStyle w:val="Hyperlink"/>
            <w:noProof/>
          </w:rPr>
          <w:t>Progression from the Year 7–10 curriculum</w:t>
        </w:r>
        <w:r w:rsidR="00676639">
          <w:rPr>
            <w:noProof/>
            <w:webHidden/>
          </w:rPr>
          <w:tab/>
        </w:r>
        <w:r w:rsidR="00676639">
          <w:rPr>
            <w:noProof/>
            <w:webHidden/>
          </w:rPr>
          <w:fldChar w:fldCharType="begin"/>
        </w:r>
        <w:r w:rsidR="00676639">
          <w:rPr>
            <w:noProof/>
            <w:webHidden/>
          </w:rPr>
          <w:instrText xml:space="preserve"> PAGEREF _Toc381793598 \h </w:instrText>
        </w:r>
        <w:r w:rsidR="00676639">
          <w:rPr>
            <w:noProof/>
            <w:webHidden/>
          </w:rPr>
        </w:r>
        <w:r w:rsidR="00676639">
          <w:rPr>
            <w:noProof/>
            <w:webHidden/>
          </w:rPr>
          <w:fldChar w:fldCharType="separate"/>
        </w:r>
        <w:r w:rsidR="00676639">
          <w:rPr>
            <w:noProof/>
            <w:webHidden/>
          </w:rPr>
          <w:t>3</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599" w:history="1">
        <w:r w:rsidR="00676639" w:rsidRPr="00707C28">
          <w:rPr>
            <w:rStyle w:val="Hyperlink"/>
            <w:noProof/>
          </w:rPr>
          <w:t>Representation of the general capabilities</w:t>
        </w:r>
        <w:r w:rsidR="00676639">
          <w:rPr>
            <w:noProof/>
            <w:webHidden/>
          </w:rPr>
          <w:tab/>
        </w:r>
        <w:r w:rsidR="00676639">
          <w:rPr>
            <w:noProof/>
            <w:webHidden/>
          </w:rPr>
          <w:fldChar w:fldCharType="begin"/>
        </w:r>
        <w:r w:rsidR="00676639">
          <w:rPr>
            <w:noProof/>
            <w:webHidden/>
          </w:rPr>
          <w:instrText xml:space="preserve"> PAGEREF _Toc381793599 \h </w:instrText>
        </w:r>
        <w:r w:rsidR="00676639">
          <w:rPr>
            <w:noProof/>
            <w:webHidden/>
          </w:rPr>
        </w:r>
        <w:r w:rsidR="00676639">
          <w:rPr>
            <w:noProof/>
            <w:webHidden/>
          </w:rPr>
          <w:fldChar w:fldCharType="separate"/>
        </w:r>
        <w:r w:rsidR="00676639">
          <w:rPr>
            <w:noProof/>
            <w:webHidden/>
          </w:rPr>
          <w:t>4</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600" w:history="1">
        <w:r w:rsidR="00676639" w:rsidRPr="00707C28">
          <w:rPr>
            <w:rStyle w:val="Hyperlink"/>
            <w:noProof/>
          </w:rPr>
          <w:t>Representation of the cross-curriculum priorities</w:t>
        </w:r>
        <w:r w:rsidR="00676639">
          <w:rPr>
            <w:noProof/>
            <w:webHidden/>
          </w:rPr>
          <w:tab/>
        </w:r>
        <w:r w:rsidR="00676639">
          <w:rPr>
            <w:noProof/>
            <w:webHidden/>
          </w:rPr>
          <w:fldChar w:fldCharType="begin"/>
        </w:r>
        <w:r w:rsidR="00676639">
          <w:rPr>
            <w:noProof/>
            <w:webHidden/>
          </w:rPr>
          <w:instrText xml:space="preserve"> PAGEREF _Toc381793600 \h </w:instrText>
        </w:r>
        <w:r w:rsidR="00676639">
          <w:rPr>
            <w:noProof/>
            <w:webHidden/>
          </w:rPr>
        </w:r>
        <w:r w:rsidR="00676639">
          <w:rPr>
            <w:noProof/>
            <w:webHidden/>
          </w:rPr>
          <w:fldChar w:fldCharType="separate"/>
        </w:r>
        <w:r w:rsidR="00676639">
          <w:rPr>
            <w:noProof/>
            <w:webHidden/>
          </w:rPr>
          <w:t>5</w:t>
        </w:r>
        <w:r w:rsidR="00676639">
          <w:rPr>
            <w:noProof/>
            <w:webHidden/>
          </w:rPr>
          <w:fldChar w:fldCharType="end"/>
        </w:r>
      </w:hyperlink>
    </w:p>
    <w:p w:rsidR="00676639" w:rsidRDefault="00B362C4" w:rsidP="005549A4">
      <w:pPr>
        <w:pStyle w:val="TOC1"/>
        <w:rPr>
          <w:rFonts w:asciiTheme="minorHAnsi" w:hAnsiTheme="minorHAnsi"/>
          <w:noProof/>
          <w:sz w:val="22"/>
          <w:lang w:eastAsia="en-AU"/>
        </w:rPr>
      </w:pPr>
      <w:hyperlink w:anchor="_Toc381793601" w:history="1">
        <w:r w:rsidR="00676639" w:rsidRPr="00707C28">
          <w:rPr>
            <w:rStyle w:val="Hyperlink"/>
            <w:noProof/>
          </w:rPr>
          <w:t>Unit 1 – Personal economic and financial decisions</w:t>
        </w:r>
        <w:r w:rsidR="00676639">
          <w:rPr>
            <w:noProof/>
            <w:webHidden/>
          </w:rPr>
          <w:tab/>
        </w:r>
        <w:r w:rsidR="00676639">
          <w:rPr>
            <w:noProof/>
            <w:webHidden/>
          </w:rPr>
          <w:fldChar w:fldCharType="begin"/>
        </w:r>
        <w:r w:rsidR="00676639">
          <w:rPr>
            <w:noProof/>
            <w:webHidden/>
          </w:rPr>
          <w:instrText xml:space="preserve"> PAGEREF _Toc381793601 \h </w:instrText>
        </w:r>
        <w:r w:rsidR="00676639">
          <w:rPr>
            <w:noProof/>
            <w:webHidden/>
          </w:rPr>
        </w:r>
        <w:r w:rsidR="00676639">
          <w:rPr>
            <w:noProof/>
            <w:webHidden/>
          </w:rPr>
          <w:fldChar w:fldCharType="separate"/>
        </w:r>
        <w:r w:rsidR="00676639">
          <w:rPr>
            <w:noProof/>
            <w:webHidden/>
          </w:rPr>
          <w:t>6</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602" w:history="1">
        <w:r w:rsidR="00676639" w:rsidRPr="00707C28">
          <w:rPr>
            <w:rStyle w:val="Hyperlink"/>
            <w:noProof/>
          </w:rPr>
          <w:t>Unit description</w:t>
        </w:r>
        <w:r w:rsidR="00676639">
          <w:rPr>
            <w:noProof/>
            <w:webHidden/>
          </w:rPr>
          <w:tab/>
        </w:r>
        <w:r w:rsidR="00676639">
          <w:rPr>
            <w:noProof/>
            <w:webHidden/>
          </w:rPr>
          <w:fldChar w:fldCharType="begin"/>
        </w:r>
        <w:r w:rsidR="00676639">
          <w:rPr>
            <w:noProof/>
            <w:webHidden/>
          </w:rPr>
          <w:instrText xml:space="preserve"> PAGEREF _Toc381793602 \h </w:instrText>
        </w:r>
        <w:r w:rsidR="00676639">
          <w:rPr>
            <w:noProof/>
            <w:webHidden/>
          </w:rPr>
        </w:r>
        <w:r w:rsidR="00676639">
          <w:rPr>
            <w:noProof/>
            <w:webHidden/>
          </w:rPr>
          <w:fldChar w:fldCharType="separate"/>
        </w:r>
        <w:r w:rsidR="00676639">
          <w:rPr>
            <w:noProof/>
            <w:webHidden/>
          </w:rPr>
          <w:t>6</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603" w:history="1">
        <w:r w:rsidR="00676639" w:rsidRPr="00707C28">
          <w:rPr>
            <w:rStyle w:val="Hyperlink"/>
            <w:noProof/>
          </w:rPr>
          <w:t>Unit content</w:t>
        </w:r>
        <w:r w:rsidR="00676639">
          <w:rPr>
            <w:noProof/>
            <w:webHidden/>
          </w:rPr>
          <w:tab/>
        </w:r>
        <w:r w:rsidR="00676639">
          <w:rPr>
            <w:noProof/>
            <w:webHidden/>
          </w:rPr>
          <w:fldChar w:fldCharType="begin"/>
        </w:r>
        <w:r w:rsidR="00676639">
          <w:rPr>
            <w:noProof/>
            <w:webHidden/>
          </w:rPr>
          <w:instrText xml:space="preserve"> PAGEREF _Toc381793603 \h </w:instrText>
        </w:r>
        <w:r w:rsidR="00676639">
          <w:rPr>
            <w:noProof/>
            <w:webHidden/>
          </w:rPr>
        </w:r>
        <w:r w:rsidR="00676639">
          <w:rPr>
            <w:noProof/>
            <w:webHidden/>
          </w:rPr>
          <w:fldChar w:fldCharType="separate"/>
        </w:r>
        <w:r w:rsidR="00676639">
          <w:rPr>
            <w:noProof/>
            <w:webHidden/>
          </w:rPr>
          <w:t>6</w:t>
        </w:r>
        <w:r w:rsidR="00676639">
          <w:rPr>
            <w:noProof/>
            <w:webHidden/>
          </w:rPr>
          <w:fldChar w:fldCharType="end"/>
        </w:r>
      </w:hyperlink>
    </w:p>
    <w:p w:rsidR="00676639" w:rsidRDefault="00B362C4" w:rsidP="005549A4">
      <w:pPr>
        <w:pStyle w:val="TOC1"/>
        <w:rPr>
          <w:rFonts w:asciiTheme="minorHAnsi" w:hAnsiTheme="minorHAnsi"/>
          <w:noProof/>
          <w:sz w:val="22"/>
          <w:lang w:eastAsia="en-AU"/>
        </w:rPr>
      </w:pPr>
      <w:hyperlink w:anchor="_Toc381793604" w:history="1">
        <w:r w:rsidR="00676639" w:rsidRPr="00707C28">
          <w:rPr>
            <w:rStyle w:val="Hyperlink"/>
            <w:noProof/>
          </w:rPr>
          <w:t>Unit 2 – Small business economics</w:t>
        </w:r>
        <w:r w:rsidR="00676639">
          <w:rPr>
            <w:noProof/>
            <w:webHidden/>
          </w:rPr>
          <w:tab/>
        </w:r>
        <w:r w:rsidR="00676639">
          <w:rPr>
            <w:noProof/>
            <w:webHidden/>
          </w:rPr>
          <w:fldChar w:fldCharType="begin"/>
        </w:r>
        <w:r w:rsidR="00676639">
          <w:rPr>
            <w:noProof/>
            <w:webHidden/>
          </w:rPr>
          <w:instrText xml:space="preserve"> PAGEREF _Toc381793604 \h </w:instrText>
        </w:r>
        <w:r w:rsidR="00676639">
          <w:rPr>
            <w:noProof/>
            <w:webHidden/>
          </w:rPr>
        </w:r>
        <w:r w:rsidR="00676639">
          <w:rPr>
            <w:noProof/>
            <w:webHidden/>
          </w:rPr>
          <w:fldChar w:fldCharType="separate"/>
        </w:r>
        <w:r w:rsidR="00676639">
          <w:rPr>
            <w:noProof/>
            <w:webHidden/>
          </w:rPr>
          <w:t>9</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605" w:history="1">
        <w:r w:rsidR="00676639" w:rsidRPr="00707C28">
          <w:rPr>
            <w:rStyle w:val="Hyperlink"/>
            <w:noProof/>
          </w:rPr>
          <w:t>Unit description</w:t>
        </w:r>
        <w:r w:rsidR="00676639">
          <w:rPr>
            <w:noProof/>
            <w:webHidden/>
          </w:rPr>
          <w:tab/>
        </w:r>
        <w:r w:rsidR="00676639">
          <w:rPr>
            <w:noProof/>
            <w:webHidden/>
          </w:rPr>
          <w:fldChar w:fldCharType="begin"/>
        </w:r>
        <w:r w:rsidR="00676639">
          <w:rPr>
            <w:noProof/>
            <w:webHidden/>
          </w:rPr>
          <w:instrText xml:space="preserve"> PAGEREF _Toc381793605 \h </w:instrText>
        </w:r>
        <w:r w:rsidR="00676639">
          <w:rPr>
            <w:noProof/>
            <w:webHidden/>
          </w:rPr>
        </w:r>
        <w:r w:rsidR="00676639">
          <w:rPr>
            <w:noProof/>
            <w:webHidden/>
          </w:rPr>
          <w:fldChar w:fldCharType="separate"/>
        </w:r>
        <w:r w:rsidR="00676639">
          <w:rPr>
            <w:noProof/>
            <w:webHidden/>
          </w:rPr>
          <w:t>9</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606" w:history="1">
        <w:r w:rsidR="00676639" w:rsidRPr="00707C28">
          <w:rPr>
            <w:rStyle w:val="Hyperlink"/>
            <w:noProof/>
          </w:rPr>
          <w:t>Unit content</w:t>
        </w:r>
        <w:r w:rsidR="00676639">
          <w:rPr>
            <w:noProof/>
            <w:webHidden/>
          </w:rPr>
          <w:tab/>
        </w:r>
        <w:r w:rsidR="00676639">
          <w:rPr>
            <w:noProof/>
            <w:webHidden/>
          </w:rPr>
          <w:fldChar w:fldCharType="begin"/>
        </w:r>
        <w:r w:rsidR="00676639">
          <w:rPr>
            <w:noProof/>
            <w:webHidden/>
          </w:rPr>
          <w:instrText xml:space="preserve"> PAGEREF _Toc381793606 \h </w:instrText>
        </w:r>
        <w:r w:rsidR="00676639">
          <w:rPr>
            <w:noProof/>
            <w:webHidden/>
          </w:rPr>
        </w:r>
        <w:r w:rsidR="00676639">
          <w:rPr>
            <w:noProof/>
            <w:webHidden/>
          </w:rPr>
          <w:fldChar w:fldCharType="separate"/>
        </w:r>
        <w:r w:rsidR="00676639">
          <w:rPr>
            <w:noProof/>
            <w:webHidden/>
          </w:rPr>
          <w:t>9</w:t>
        </w:r>
        <w:r w:rsidR="00676639">
          <w:rPr>
            <w:noProof/>
            <w:webHidden/>
          </w:rPr>
          <w:fldChar w:fldCharType="end"/>
        </w:r>
      </w:hyperlink>
    </w:p>
    <w:p w:rsidR="00676639" w:rsidRDefault="00B362C4" w:rsidP="005549A4">
      <w:pPr>
        <w:pStyle w:val="TOC1"/>
        <w:rPr>
          <w:rFonts w:asciiTheme="minorHAnsi" w:hAnsiTheme="minorHAnsi"/>
          <w:noProof/>
          <w:sz w:val="22"/>
          <w:lang w:eastAsia="en-AU"/>
        </w:rPr>
      </w:pPr>
      <w:hyperlink w:anchor="_Toc381793607" w:history="1">
        <w:r w:rsidR="00676639" w:rsidRPr="00707C28">
          <w:rPr>
            <w:rStyle w:val="Hyperlink"/>
            <w:noProof/>
          </w:rPr>
          <w:t>School-based assessment</w:t>
        </w:r>
        <w:r w:rsidR="00676639">
          <w:rPr>
            <w:noProof/>
            <w:webHidden/>
          </w:rPr>
          <w:tab/>
        </w:r>
        <w:r w:rsidR="00676639">
          <w:rPr>
            <w:noProof/>
            <w:webHidden/>
          </w:rPr>
          <w:fldChar w:fldCharType="begin"/>
        </w:r>
        <w:r w:rsidR="00676639">
          <w:rPr>
            <w:noProof/>
            <w:webHidden/>
          </w:rPr>
          <w:instrText xml:space="preserve"> PAGEREF _Toc381793607 \h </w:instrText>
        </w:r>
        <w:r w:rsidR="00676639">
          <w:rPr>
            <w:noProof/>
            <w:webHidden/>
          </w:rPr>
        </w:r>
        <w:r w:rsidR="00676639">
          <w:rPr>
            <w:noProof/>
            <w:webHidden/>
          </w:rPr>
          <w:fldChar w:fldCharType="separate"/>
        </w:r>
        <w:r w:rsidR="00676639">
          <w:rPr>
            <w:noProof/>
            <w:webHidden/>
          </w:rPr>
          <w:t>12</w:t>
        </w:r>
        <w:r w:rsidR="00676639">
          <w:rPr>
            <w:noProof/>
            <w:webHidden/>
          </w:rPr>
          <w:fldChar w:fldCharType="end"/>
        </w:r>
      </w:hyperlink>
    </w:p>
    <w:p w:rsidR="00676639" w:rsidRDefault="00B362C4" w:rsidP="00216D89">
      <w:pPr>
        <w:pStyle w:val="TOC2"/>
        <w:tabs>
          <w:tab w:val="right" w:leader="dot" w:pos="9736"/>
        </w:tabs>
        <w:spacing w:line="276" w:lineRule="auto"/>
        <w:rPr>
          <w:rFonts w:asciiTheme="minorHAnsi" w:hAnsiTheme="minorHAnsi"/>
          <w:noProof/>
          <w:sz w:val="22"/>
          <w:lang w:eastAsia="en-AU"/>
        </w:rPr>
      </w:pPr>
      <w:hyperlink w:anchor="_Toc381793608" w:history="1">
        <w:r w:rsidR="00676639" w:rsidRPr="00707C28">
          <w:rPr>
            <w:rStyle w:val="Hyperlink"/>
            <w:noProof/>
          </w:rPr>
          <w:t>Grading</w:t>
        </w:r>
        <w:r w:rsidR="00676639">
          <w:rPr>
            <w:noProof/>
            <w:webHidden/>
          </w:rPr>
          <w:tab/>
        </w:r>
        <w:r w:rsidR="00676639">
          <w:rPr>
            <w:noProof/>
            <w:webHidden/>
          </w:rPr>
          <w:fldChar w:fldCharType="begin"/>
        </w:r>
        <w:r w:rsidR="00676639">
          <w:rPr>
            <w:noProof/>
            <w:webHidden/>
          </w:rPr>
          <w:instrText xml:space="preserve"> PAGEREF _Toc381793608 \h </w:instrText>
        </w:r>
        <w:r w:rsidR="00676639">
          <w:rPr>
            <w:noProof/>
            <w:webHidden/>
          </w:rPr>
        </w:r>
        <w:r w:rsidR="00676639">
          <w:rPr>
            <w:noProof/>
            <w:webHidden/>
          </w:rPr>
          <w:fldChar w:fldCharType="separate"/>
        </w:r>
        <w:r w:rsidR="00676639">
          <w:rPr>
            <w:noProof/>
            <w:webHidden/>
          </w:rPr>
          <w:t>13</w:t>
        </w:r>
        <w:r w:rsidR="00676639">
          <w:rPr>
            <w:noProof/>
            <w:webHidden/>
          </w:rPr>
          <w:fldChar w:fldCharType="end"/>
        </w:r>
      </w:hyperlink>
    </w:p>
    <w:p w:rsidR="00676639" w:rsidRDefault="00B362C4" w:rsidP="005549A4">
      <w:pPr>
        <w:pStyle w:val="TOC1"/>
        <w:rPr>
          <w:rFonts w:asciiTheme="minorHAnsi" w:hAnsiTheme="minorHAnsi"/>
          <w:noProof/>
          <w:sz w:val="22"/>
          <w:lang w:eastAsia="en-AU"/>
        </w:rPr>
      </w:pPr>
      <w:hyperlink w:anchor="_Toc381793609" w:history="1">
        <w:r w:rsidR="00676639" w:rsidRPr="00707C28">
          <w:rPr>
            <w:rStyle w:val="Hyperlink"/>
            <w:noProof/>
          </w:rPr>
          <w:t>Appendix 1 – Grade descriptions Year 11</w:t>
        </w:r>
        <w:r w:rsidR="00676639">
          <w:rPr>
            <w:noProof/>
            <w:webHidden/>
          </w:rPr>
          <w:tab/>
        </w:r>
        <w:r w:rsidR="00676639">
          <w:rPr>
            <w:noProof/>
            <w:webHidden/>
          </w:rPr>
          <w:fldChar w:fldCharType="begin"/>
        </w:r>
        <w:r w:rsidR="00676639">
          <w:rPr>
            <w:noProof/>
            <w:webHidden/>
          </w:rPr>
          <w:instrText xml:space="preserve"> PAGEREF _Toc381793609 \h </w:instrText>
        </w:r>
        <w:r w:rsidR="00676639">
          <w:rPr>
            <w:noProof/>
            <w:webHidden/>
          </w:rPr>
        </w:r>
        <w:r w:rsidR="00676639">
          <w:rPr>
            <w:noProof/>
            <w:webHidden/>
          </w:rPr>
          <w:fldChar w:fldCharType="separate"/>
        </w:r>
        <w:r w:rsidR="00676639">
          <w:rPr>
            <w:noProof/>
            <w:webHidden/>
          </w:rPr>
          <w:t>14</w:t>
        </w:r>
        <w:r w:rsidR="00676639">
          <w:rPr>
            <w:noProof/>
            <w:webHidden/>
          </w:rPr>
          <w:fldChar w:fldCharType="end"/>
        </w:r>
      </w:hyperlink>
    </w:p>
    <w:p w:rsidR="009C7C11" w:rsidRPr="00042703" w:rsidRDefault="0038541F" w:rsidP="00216D89">
      <w:pPr>
        <w:spacing w:line="276" w:lineRule="auto"/>
        <w:sectPr w:rsidR="009C7C11" w:rsidRPr="00042703" w:rsidSect="00C5718F">
          <w:headerReference w:type="even" r:id="rId12"/>
          <w:headerReference w:type="default" r:id="rId13"/>
          <w:footerReference w:type="even" r:id="rId14"/>
          <w:headerReference w:type="first" r:id="rId15"/>
          <w:pgSz w:w="11906" w:h="16838"/>
          <w:pgMar w:top="1440" w:right="1080" w:bottom="1440" w:left="1080" w:header="708" w:footer="708" w:gutter="0"/>
          <w:cols w:space="709"/>
          <w:docGrid w:linePitch="360"/>
        </w:sectPr>
      </w:pPr>
      <w:r>
        <w:rPr>
          <w:b/>
          <w:color w:val="342568" w:themeColor="accent1" w:themeShade="BF"/>
          <w:sz w:val="40"/>
          <w:szCs w:val="40"/>
        </w:rPr>
        <w:fldChar w:fldCharType="end"/>
      </w:r>
      <w:bookmarkStart w:id="0" w:name="_Toc347908199"/>
    </w:p>
    <w:p w:rsidR="00416C3D" w:rsidRPr="00042703" w:rsidRDefault="00416C3D" w:rsidP="00216D89">
      <w:pPr>
        <w:pStyle w:val="Heading1"/>
        <w:spacing w:before="0" w:line="276" w:lineRule="auto"/>
      </w:pPr>
      <w:bookmarkStart w:id="1" w:name="_Toc381793593"/>
      <w:r w:rsidRPr="00042703">
        <w:lastRenderedPageBreak/>
        <w:t>Rationale</w:t>
      </w:r>
      <w:bookmarkEnd w:id="0"/>
      <w:bookmarkEnd w:id="1"/>
    </w:p>
    <w:p w:rsidR="00282977" w:rsidRPr="00282977" w:rsidRDefault="00282977" w:rsidP="00216D89">
      <w:pPr>
        <w:pStyle w:val="Paragraph"/>
      </w:pPr>
      <w:bookmarkStart w:id="2" w:name="_Toc347908200"/>
      <w:r w:rsidRPr="00282977">
        <w:t xml:space="preserve">Economics investigates the choices </w:t>
      </w:r>
      <w:r w:rsidR="001360BF">
        <w:t>that</w:t>
      </w:r>
      <w:r w:rsidRPr="00282977">
        <w:t xml:space="preserve"> all people, groups and societies face as they confront the ongoing problem of satisfying their unlimited wants with limited resources. Economics aims to </w:t>
      </w:r>
      <w:r w:rsidR="00445F2C" w:rsidRPr="00282977">
        <w:t xml:space="preserve">understand </w:t>
      </w:r>
      <w:r w:rsidRPr="00282977">
        <w:t xml:space="preserve">and </w:t>
      </w:r>
      <w:r w:rsidR="00445F2C" w:rsidRPr="00282977">
        <w:t xml:space="preserve">analyse </w:t>
      </w:r>
      <w:r w:rsidRPr="00282977">
        <w:t xml:space="preserve">the allocation, </w:t>
      </w:r>
      <w:proofErr w:type="spellStart"/>
      <w:r w:rsidRPr="00282977">
        <w:t>utilisation</w:t>
      </w:r>
      <w:proofErr w:type="spellEnd"/>
      <w:r w:rsidRPr="00282977">
        <w:t xml:space="preserve"> and distribution of scarce resources that determine our wealth and wellbeing. Economics develops the knowledge, reasoning and interpretation skills that form an important component of understanding </w:t>
      </w:r>
      <w:r w:rsidR="0098134C">
        <w:t>individual</w:t>
      </w:r>
      <w:r w:rsidRPr="00282977">
        <w:t>, business and government behaviour at the loc</w:t>
      </w:r>
      <w:r w:rsidR="001C01D7">
        <w:t>al, national and global levels.</w:t>
      </w:r>
    </w:p>
    <w:p w:rsidR="00282977" w:rsidRPr="00282977" w:rsidRDefault="00282977" w:rsidP="00216D89">
      <w:pPr>
        <w:pStyle w:val="Paragraph"/>
      </w:pPr>
      <w:r w:rsidRPr="00282977">
        <w:t xml:space="preserve">The Economics </w:t>
      </w:r>
      <w:r w:rsidR="00346E25">
        <w:t xml:space="preserve">General course </w:t>
      </w:r>
      <w:r w:rsidRPr="00282977">
        <w:t xml:space="preserve">encompasses the key features which </w:t>
      </w:r>
      <w:proofErr w:type="spellStart"/>
      <w:r w:rsidRPr="00282977">
        <w:t>characterise</w:t>
      </w:r>
      <w:proofErr w:type="spellEnd"/>
      <w:r w:rsidRPr="00282977">
        <w:t xml:space="preserve"> an economist’s approach to a contemporary economic event or issue: the ability to simplify the essence of a problem, to collect economic information and data </w:t>
      </w:r>
      <w:r w:rsidR="0098134C">
        <w:t>to</w:t>
      </w:r>
      <w:r w:rsidRPr="00282977">
        <w:t xml:space="preserve"> assist analysis and reasoning, to think critically about the limits of analysis in a social context, and to draw i</w:t>
      </w:r>
      <w:r w:rsidR="00346E25">
        <w:t xml:space="preserve">nferences which assist decision </w:t>
      </w:r>
      <w:r w:rsidRPr="00282977">
        <w:t>making, the development of public policy and improvement in economic wellbeing.</w:t>
      </w:r>
    </w:p>
    <w:p w:rsidR="00282977" w:rsidRPr="00282977" w:rsidRDefault="00282977" w:rsidP="00216D89">
      <w:pPr>
        <w:pStyle w:val="Paragraph"/>
      </w:pPr>
      <w:r w:rsidRPr="00282977">
        <w:t xml:space="preserve">The Economics </w:t>
      </w:r>
      <w:r w:rsidR="00346E25">
        <w:t xml:space="preserve">General course </w:t>
      </w:r>
      <w:r w:rsidRPr="00282977">
        <w:t xml:space="preserve">develops reasoning, logical thinking and interpretation skills demanded by the world of work, business and government. These skills relate to a variety of qualifications in vocational, technical and university education contexts. The learning experiences available through </w:t>
      </w:r>
      <w:r w:rsidR="00445F2C">
        <w:t xml:space="preserve">studying </w:t>
      </w:r>
      <w:r w:rsidRPr="00282977">
        <w:t>this course explore the knowledge, values and opinions which surround the complex range of economic events and issues facing our community, such as unemployment, income distribution, business strate</w:t>
      </w:r>
      <w:r w:rsidR="001C01D7">
        <w:t>gy and international relations.</w:t>
      </w:r>
    </w:p>
    <w:p w:rsidR="004D1266" w:rsidRPr="001C01D7" w:rsidRDefault="00282977" w:rsidP="001C01D7">
      <w:pPr>
        <w:pStyle w:val="Paragraph"/>
      </w:pPr>
      <w:r w:rsidRPr="00282977">
        <w:t xml:space="preserve">Economic literacy developed through this course enables students to actively participate in </w:t>
      </w:r>
      <w:r w:rsidR="00C64316">
        <w:t xml:space="preserve">economic and financial decision </w:t>
      </w:r>
      <w:r w:rsidRPr="00282977">
        <w:t xml:space="preserve">making </w:t>
      </w:r>
      <w:r w:rsidR="001360BF">
        <w:t>that</w:t>
      </w:r>
      <w:r w:rsidRPr="00282977">
        <w:t xml:space="preserve"> promotes individual and</w:t>
      </w:r>
      <w:r w:rsidR="001C01D7">
        <w:t xml:space="preserve"> societal wealth and wellbeing.</w:t>
      </w:r>
      <w:r w:rsidR="004D1266">
        <w:br w:type="page"/>
      </w:r>
    </w:p>
    <w:p w:rsidR="00416C3D" w:rsidRPr="00042703" w:rsidRDefault="00416C3D" w:rsidP="00216D89">
      <w:pPr>
        <w:pStyle w:val="Heading1"/>
        <w:spacing w:line="276" w:lineRule="auto"/>
      </w:pPr>
      <w:bookmarkStart w:id="3" w:name="_Toc381793594"/>
      <w:r w:rsidRPr="00042703">
        <w:lastRenderedPageBreak/>
        <w:t>Course outcomes</w:t>
      </w:r>
      <w:bookmarkEnd w:id="2"/>
      <w:bookmarkEnd w:id="3"/>
    </w:p>
    <w:p w:rsidR="006C085D" w:rsidRPr="00042703" w:rsidRDefault="006C085D" w:rsidP="00216D89">
      <w:pPr>
        <w:spacing w:line="276" w:lineRule="auto"/>
      </w:pPr>
      <w:r w:rsidRPr="00042703">
        <w:t xml:space="preserve">The </w:t>
      </w:r>
      <w:r w:rsidR="00282977" w:rsidRPr="00B9153B">
        <w:rPr>
          <w:rStyle w:val="ParagraphChar"/>
        </w:rPr>
        <w:t>Economics</w:t>
      </w:r>
      <w:r w:rsidR="00282977">
        <w:rPr>
          <w:rFonts w:ascii="Arial" w:eastAsia="Times New Roman" w:hAnsi="Arial" w:cs="Arial"/>
          <w:sz w:val="20"/>
          <w:szCs w:val="20"/>
          <w:lang w:val="en-US"/>
        </w:rPr>
        <w:t xml:space="preserve"> </w:t>
      </w:r>
      <w:r w:rsidR="00346E25">
        <w:t xml:space="preserve">General course </w:t>
      </w:r>
      <w:r w:rsidRPr="00042703">
        <w:t>is designed to facilitate achievement of the following outcomes.</w:t>
      </w:r>
    </w:p>
    <w:p w:rsidR="00416C3D" w:rsidRPr="00F91F14" w:rsidRDefault="00282977" w:rsidP="00216D89">
      <w:pPr>
        <w:pStyle w:val="Heading3"/>
        <w:spacing w:line="276" w:lineRule="auto"/>
      </w:pPr>
      <w:r>
        <w:t>Outcome 1</w:t>
      </w:r>
      <w:r w:rsidR="00C64316">
        <w:t xml:space="preserve"> –</w:t>
      </w:r>
      <w:r>
        <w:t xml:space="preserve"> Economic inquiry</w:t>
      </w:r>
    </w:p>
    <w:p w:rsidR="00416C3D" w:rsidRPr="00282977" w:rsidRDefault="00416C3D" w:rsidP="00216D89">
      <w:pPr>
        <w:pStyle w:val="Paragraph"/>
      </w:pPr>
      <w:r w:rsidRPr="00042703">
        <w:t xml:space="preserve">Students </w:t>
      </w:r>
      <w:r w:rsidR="00282977" w:rsidRPr="00282977">
        <w:t>use economic information and data to communicate an understanding of economic events, issues and decisions.</w:t>
      </w:r>
    </w:p>
    <w:p w:rsidR="00416C3D" w:rsidRPr="00042703" w:rsidRDefault="00416C3D" w:rsidP="00216D89">
      <w:pPr>
        <w:pStyle w:val="Paragraph"/>
      </w:pPr>
      <w:r w:rsidRPr="00042703">
        <w:t>In achieving this outcome, students:</w:t>
      </w:r>
    </w:p>
    <w:p w:rsidR="00282977" w:rsidRPr="00A1105E" w:rsidRDefault="00282977" w:rsidP="00A1105E">
      <w:pPr>
        <w:pStyle w:val="ListItem"/>
        <w:numPr>
          <w:ilvl w:val="0"/>
          <w:numId w:val="43"/>
        </w:numPr>
        <w:spacing w:before="60" w:after="60"/>
        <w:ind w:left="357" w:hanging="357"/>
        <w:rPr>
          <w:rFonts w:eastAsia="Calibri"/>
        </w:rPr>
      </w:pPr>
      <w:r w:rsidRPr="00A1105E">
        <w:rPr>
          <w:rFonts w:eastAsia="Calibri"/>
        </w:rPr>
        <w:t xml:space="preserve">locate, select and </w:t>
      </w:r>
      <w:proofErr w:type="spellStart"/>
      <w:r w:rsidRPr="00A1105E">
        <w:rPr>
          <w:rFonts w:eastAsia="Calibri"/>
        </w:rPr>
        <w:t>organise</w:t>
      </w:r>
      <w:proofErr w:type="spellEnd"/>
      <w:r w:rsidRPr="00A1105E">
        <w:rPr>
          <w:rFonts w:eastAsia="Calibri"/>
        </w:rPr>
        <w:t xml:space="preserve"> economic information and data</w:t>
      </w:r>
    </w:p>
    <w:p w:rsidR="00282977" w:rsidRPr="00A1105E" w:rsidRDefault="00282977" w:rsidP="00A1105E">
      <w:pPr>
        <w:pStyle w:val="ListItem"/>
        <w:numPr>
          <w:ilvl w:val="0"/>
          <w:numId w:val="43"/>
        </w:numPr>
        <w:spacing w:before="60" w:after="60"/>
        <w:ind w:left="357" w:hanging="357"/>
        <w:rPr>
          <w:rFonts w:eastAsia="Calibri"/>
        </w:rPr>
      </w:pPr>
      <w:r w:rsidRPr="00A1105E">
        <w:rPr>
          <w:rFonts w:eastAsia="Calibri"/>
        </w:rPr>
        <w:t>analyse and interpret economic information and data</w:t>
      </w:r>
    </w:p>
    <w:p w:rsidR="00282977" w:rsidRPr="00A1105E" w:rsidRDefault="00282977" w:rsidP="00A1105E">
      <w:pPr>
        <w:pStyle w:val="ListItem"/>
        <w:numPr>
          <w:ilvl w:val="0"/>
          <w:numId w:val="43"/>
        </w:numPr>
        <w:spacing w:before="60" w:after="60"/>
        <w:ind w:left="357" w:hanging="357"/>
        <w:rPr>
          <w:rFonts w:eastAsia="Calibri"/>
        </w:rPr>
      </w:pPr>
      <w:proofErr w:type="gramStart"/>
      <w:r w:rsidRPr="00A1105E">
        <w:rPr>
          <w:rFonts w:eastAsia="Calibri"/>
        </w:rPr>
        <w:t>use</w:t>
      </w:r>
      <w:proofErr w:type="gramEnd"/>
      <w:r w:rsidRPr="00A1105E">
        <w:rPr>
          <w:rFonts w:eastAsia="Calibri"/>
        </w:rPr>
        <w:t xml:space="preserve"> economic terms, concepts and models to communicate an understanding of economic events, issues and decisions.</w:t>
      </w:r>
    </w:p>
    <w:p w:rsidR="00416C3D" w:rsidRPr="00042703" w:rsidRDefault="00416C3D" w:rsidP="00216D89">
      <w:pPr>
        <w:pStyle w:val="Heading3"/>
        <w:spacing w:line="276" w:lineRule="auto"/>
      </w:pPr>
      <w:r w:rsidRPr="00042703">
        <w:t>Outcome 2</w:t>
      </w:r>
      <w:r w:rsidR="00C64316">
        <w:t xml:space="preserve"> –</w:t>
      </w:r>
      <w:r w:rsidRPr="00042703">
        <w:t xml:space="preserve"> </w:t>
      </w:r>
      <w:r w:rsidR="00282977" w:rsidRPr="00282977">
        <w:t>The operation of the economy</w:t>
      </w:r>
    </w:p>
    <w:p w:rsidR="00282977" w:rsidRPr="00282977" w:rsidRDefault="00D0711B" w:rsidP="00216D89">
      <w:pPr>
        <w:pStyle w:val="Paragraph"/>
      </w:pPr>
      <w:r w:rsidRPr="00042703">
        <w:t xml:space="preserve">Students </w:t>
      </w:r>
      <w:r w:rsidR="00282977" w:rsidRPr="00282977">
        <w:t>understand that economic forces influence the operation of the economy and are affected by the decisions of consumers and businesses.</w:t>
      </w:r>
    </w:p>
    <w:p w:rsidR="00416C3D" w:rsidRPr="00042703" w:rsidRDefault="00416C3D" w:rsidP="00216D89">
      <w:pPr>
        <w:pStyle w:val="Paragraph"/>
      </w:pPr>
      <w:r w:rsidRPr="00042703">
        <w:t>In achieving this outcome, students:</w:t>
      </w:r>
    </w:p>
    <w:p w:rsidR="00282977" w:rsidRPr="00A1105E" w:rsidRDefault="00282977" w:rsidP="00A1105E">
      <w:pPr>
        <w:pStyle w:val="ListItem"/>
        <w:numPr>
          <w:ilvl w:val="0"/>
          <w:numId w:val="43"/>
        </w:numPr>
        <w:spacing w:before="60" w:after="60"/>
        <w:ind w:left="357" w:hanging="357"/>
        <w:rPr>
          <w:rFonts w:eastAsia="Calibri"/>
        </w:rPr>
      </w:pPr>
      <w:r w:rsidRPr="00A1105E">
        <w:rPr>
          <w:rFonts w:eastAsia="Calibri"/>
        </w:rPr>
        <w:t>understand how domestic and international economic forces influence the operation of the economy</w:t>
      </w:r>
    </w:p>
    <w:p w:rsidR="00282977" w:rsidRPr="00A1105E" w:rsidRDefault="00282977" w:rsidP="00A1105E">
      <w:pPr>
        <w:pStyle w:val="ListItem"/>
        <w:numPr>
          <w:ilvl w:val="0"/>
          <w:numId w:val="43"/>
        </w:numPr>
        <w:spacing w:before="60" w:after="60"/>
        <w:ind w:left="357" w:hanging="357"/>
        <w:rPr>
          <w:rFonts w:eastAsia="Calibri"/>
        </w:rPr>
      </w:pPr>
      <w:proofErr w:type="gramStart"/>
      <w:r w:rsidRPr="00A1105E">
        <w:rPr>
          <w:rFonts w:eastAsia="Calibri"/>
        </w:rPr>
        <w:t>understand</w:t>
      </w:r>
      <w:proofErr w:type="gramEnd"/>
      <w:r w:rsidRPr="00A1105E">
        <w:rPr>
          <w:rFonts w:eastAsia="Calibri"/>
        </w:rPr>
        <w:t xml:space="preserve"> the choices, trade-offs and effects of economic decisions made at the local, national and international levels.</w:t>
      </w:r>
    </w:p>
    <w:p w:rsidR="00416C3D" w:rsidRPr="00042703" w:rsidRDefault="00416C3D" w:rsidP="00216D89">
      <w:pPr>
        <w:pStyle w:val="Heading3"/>
        <w:spacing w:line="276" w:lineRule="auto"/>
      </w:pPr>
      <w:r w:rsidRPr="00042703">
        <w:t>Outcome 3</w:t>
      </w:r>
      <w:r w:rsidR="00C64316">
        <w:t xml:space="preserve"> –</w:t>
      </w:r>
      <w:r w:rsidRPr="00042703">
        <w:t xml:space="preserve"> </w:t>
      </w:r>
      <w:r w:rsidR="00282977" w:rsidRPr="00282977">
        <w:t>Economic policy and action</w:t>
      </w:r>
    </w:p>
    <w:p w:rsidR="00282977" w:rsidRDefault="00D0711B" w:rsidP="00216D89">
      <w:pPr>
        <w:pStyle w:val="Paragraph"/>
      </w:pPr>
      <w:r w:rsidRPr="00042703">
        <w:t xml:space="preserve">Students </w:t>
      </w:r>
      <w:r w:rsidR="00282977">
        <w:t>understand that the policies and actions of the government and other authorities affect the operation of the economy.</w:t>
      </w:r>
    </w:p>
    <w:p w:rsidR="00416C3D" w:rsidRPr="00042703" w:rsidRDefault="00416C3D" w:rsidP="00216D89">
      <w:pPr>
        <w:pStyle w:val="Paragraph"/>
      </w:pPr>
      <w:r w:rsidRPr="00042703">
        <w:t>In achieving this outcome, students:</w:t>
      </w:r>
    </w:p>
    <w:p w:rsidR="00282977" w:rsidRPr="00A1105E" w:rsidRDefault="00282977" w:rsidP="00A1105E">
      <w:pPr>
        <w:pStyle w:val="ListItem"/>
        <w:numPr>
          <w:ilvl w:val="0"/>
          <w:numId w:val="43"/>
        </w:numPr>
        <w:spacing w:before="60" w:after="60"/>
        <w:ind w:left="357" w:hanging="357"/>
        <w:rPr>
          <w:rFonts w:eastAsia="Calibri"/>
        </w:rPr>
      </w:pPr>
      <w:r w:rsidRPr="00A1105E">
        <w:rPr>
          <w:rFonts w:eastAsia="Calibri"/>
        </w:rPr>
        <w:t>understand why economic policies and actions are required to manage the economy</w:t>
      </w:r>
    </w:p>
    <w:p w:rsidR="00282977" w:rsidRPr="00A1105E" w:rsidRDefault="00282977" w:rsidP="00A1105E">
      <w:pPr>
        <w:pStyle w:val="ListItem"/>
        <w:numPr>
          <w:ilvl w:val="0"/>
          <w:numId w:val="43"/>
        </w:numPr>
        <w:spacing w:before="60" w:after="60"/>
        <w:ind w:left="357" w:hanging="357"/>
        <w:rPr>
          <w:rFonts w:eastAsia="Calibri"/>
        </w:rPr>
      </w:pPr>
      <w:r w:rsidRPr="00A1105E">
        <w:rPr>
          <w:rFonts w:eastAsia="Calibri"/>
        </w:rPr>
        <w:t>understand how policy options are used to address domestic and international economic problems and issues</w:t>
      </w:r>
    </w:p>
    <w:p w:rsidR="004D1266" w:rsidRPr="004E101C" w:rsidRDefault="00282977" w:rsidP="00A1105E">
      <w:pPr>
        <w:pStyle w:val="ListItem"/>
        <w:numPr>
          <w:ilvl w:val="0"/>
          <w:numId w:val="43"/>
        </w:numPr>
        <w:spacing w:before="60" w:after="60"/>
        <w:ind w:left="357" w:hanging="357"/>
      </w:pPr>
      <w:proofErr w:type="gramStart"/>
      <w:r w:rsidRPr="00A1105E">
        <w:rPr>
          <w:rFonts w:eastAsia="Calibri"/>
        </w:rPr>
        <w:t>understand</w:t>
      </w:r>
      <w:proofErr w:type="gramEnd"/>
      <w:r w:rsidRPr="00A1105E">
        <w:rPr>
          <w:rFonts w:eastAsia="Calibri"/>
        </w:rPr>
        <w:t xml:space="preserve"> the effects of economic policies and actions of government and other authorities at the local, national and international level.</w:t>
      </w:r>
      <w:bookmarkStart w:id="4" w:name="_Toc359483727"/>
      <w:bookmarkStart w:id="5" w:name="_Toc359503786"/>
      <w:bookmarkStart w:id="6" w:name="_Toc347908207"/>
      <w:bookmarkStart w:id="7" w:name="_Toc347908206"/>
      <w:r w:rsidR="004D1266">
        <w:br w:type="page"/>
      </w:r>
    </w:p>
    <w:p w:rsidR="009D4A6D" w:rsidRPr="00042703" w:rsidRDefault="009D4A6D" w:rsidP="00216D89">
      <w:pPr>
        <w:pStyle w:val="Heading1"/>
        <w:spacing w:line="276" w:lineRule="auto"/>
      </w:pPr>
      <w:bookmarkStart w:id="8" w:name="_Toc381793595"/>
      <w:r w:rsidRPr="00042703">
        <w:lastRenderedPageBreak/>
        <w:t>Organisation</w:t>
      </w:r>
      <w:bookmarkEnd w:id="4"/>
      <w:bookmarkEnd w:id="5"/>
      <w:bookmarkEnd w:id="8"/>
    </w:p>
    <w:p w:rsidR="00716474" w:rsidRPr="00042703" w:rsidRDefault="004F7DA2" w:rsidP="00216D89">
      <w:pPr>
        <w:pStyle w:val="Paragraph"/>
      </w:pPr>
      <w:bookmarkStart w:id="9" w:name="_Toc359483728"/>
      <w:bookmarkStart w:id="10" w:name="_Toc359503787"/>
      <w:r w:rsidRPr="00042703">
        <w:t>This course is organised into a Year 11 syllabus and a Year 12 syllabus.</w:t>
      </w:r>
      <w:r w:rsidR="00716474" w:rsidRPr="00042703">
        <w:t xml:space="preserve"> The cognitive complexity of the syllabus content increases from Year 11 to Year 12.</w:t>
      </w:r>
    </w:p>
    <w:p w:rsidR="009D4A6D" w:rsidRPr="002F41D0" w:rsidRDefault="009D4A6D" w:rsidP="00216D89">
      <w:pPr>
        <w:pStyle w:val="Heading2"/>
        <w:spacing w:line="276" w:lineRule="auto"/>
      </w:pPr>
      <w:bookmarkStart w:id="11" w:name="_Toc381793596"/>
      <w:r w:rsidRPr="002F41D0">
        <w:t>Structure of the syllabus</w:t>
      </w:r>
      <w:bookmarkEnd w:id="9"/>
      <w:bookmarkEnd w:id="10"/>
      <w:bookmarkEnd w:id="11"/>
    </w:p>
    <w:p w:rsidR="005E4338" w:rsidRPr="00042703" w:rsidRDefault="009D4A6D" w:rsidP="00216D89">
      <w:pPr>
        <w:spacing w:before="120" w:line="276" w:lineRule="auto"/>
      </w:pPr>
      <w:r w:rsidRPr="00042703">
        <w:t>The Year 11 syllabus is divided into two units each of one semester duration which are typically delivered as a pair.</w:t>
      </w:r>
      <w:r w:rsidR="005E4338" w:rsidRPr="00042703">
        <w:t xml:space="preserve"> The notional </w:t>
      </w:r>
      <w:r w:rsidR="005335D5" w:rsidRPr="00042703">
        <w:t>time</w:t>
      </w:r>
      <w:r w:rsidR="005E4338" w:rsidRPr="00042703">
        <w:t xml:space="preserve"> for each unit </w:t>
      </w:r>
      <w:r w:rsidR="005335D5" w:rsidRPr="00042703">
        <w:t>is</w:t>
      </w:r>
      <w:r w:rsidR="005A2AEF">
        <w:t xml:space="preserve"> 55 class contact hours.</w:t>
      </w:r>
    </w:p>
    <w:p w:rsidR="00282977" w:rsidRPr="00282977" w:rsidRDefault="003A36D4" w:rsidP="00216D89">
      <w:pPr>
        <w:pStyle w:val="Heading3"/>
        <w:spacing w:line="276" w:lineRule="auto"/>
      </w:pPr>
      <w:r>
        <w:t>Unit 1 –</w:t>
      </w:r>
      <w:r w:rsidR="009D4A6D" w:rsidRPr="00042703">
        <w:t xml:space="preserve"> </w:t>
      </w:r>
      <w:r w:rsidR="00282977" w:rsidRPr="00282977">
        <w:t>Personal economic and financial decisions</w:t>
      </w:r>
    </w:p>
    <w:p w:rsidR="00282977" w:rsidRPr="00282977" w:rsidRDefault="00282977" w:rsidP="00216D89">
      <w:pPr>
        <w:pStyle w:val="Paragraph"/>
      </w:pPr>
      <w:r w:rsidRPr="00282977">
        <w:t xml:space="preserve">This unit </w:t>
      </w:r>
      <w:r w:rsidR="00F938C4">
        <w:t>explores</w:t>
      </w:r>
      <w:r w:rsidRPr="00282977">
        <w:t xml:space="preserve"> personal economic and financial decisions in relation to earning and spending income and building wealth to satisfy needs and wants</w:t>
      </w:r>
      <w:r w:rsidR="001360BF">
        <w:t>,</w:t>
      </w:r>
      <w:r w:rsidRPr="00282977">
        <w:t xml:space="preserve"> both now and in the future.</w:t>
      </w:r>
    </w:p>
    <w:p w:rsidR="009D4A6D" w:rsidRPr="00042703" w:rsidRDefault="003A36D4" w:rsidP="00216D89">
      <w:pPr>
        <w:pStyle w:val="Heading3"/>
        <w:spacing w:line="276" w:lineRule="auto"/>
      </w:pPr>
      <w:r>
        <w:t>Unit 2 –</w:t>
      </w:r>
      <w:r w:rsidR="009D4A6D" w:rsidRPr="00042703">
        <w:t xml:space="preserve"> </w:t>
      </w:r>
      <w:r w:rsidR="00282977" w:rsidRPr="00282977">
        <w:t>Small business economics</w:t>
      </w:r>
    </w:p>
    <w:p w:rsidR="00282977" w:rsidRPr="001360BF" w:rsidRDefault="00282977" w:rsidP="00216D89">
      <w:pPr>
        <w:pStyle w:val="Paragraph"/>
      </w:pPr>
      <w:r w:rsidRPr="001360BF">
        <w:rPr>
          <w:rStyle w:val="ParagraphChar"/>
        </w:rPr>
        <w:t xml:space="preserve">This unit </w:t>
      </w:r>
      <w:r w:rsidR="00F938C4">
        <w:t>explores</w:t>
      </w:r>
      <w:r w:rsidR="00F938C4" w:rsidRPr="00282977">
        <w:t xml:space="preserve"> </w:t>
      </w:r>
      <w:r w:rsidRPr="001360BF">
        <w:rPr>
          <w:rStyle w:val="ParagraphChar"/>
        </w:rPr>
        <w:t>the economic decisions businesses make in relation to the problem of relative scarcity and</w:t>
      </w:r>
      <w:r w:rsidRPr="001360BF">
        <w:t xml:space="preserve"> choice</w:t>
      </w:r>
      <w:r w:rsidR="001360BF" w:rsidRPr="001360BF">
        <w:t>,</w:t>
      </w:r>
      <w:r w:rsidRPr="001360BF">
        <w:t xml:space="preserve"> and the strategies use</w:t>
      </w:r>
      <w:r w:rsidR="007A1E8D">
        <w:t>d</w:t>
      </w:r>
      <w:r w:rsidRPr="001360BF">
        <w:t xml:space="preserve"> to achieve a competitive advantage in the market.</w:t>
      </w:r>
    </w:p>
    <w:p w:rsidR="004D2A71" w:rsidRDefault="004D2A71" w:rsidP="00216D89">
      <w:pPr>
        <w:pStyle w:val="Paragraph"/>
      </w:pPr>
      <w:r w:rsidRPr="00042703">
        <w:t>Each unit includes:</w:t>
      </w:r>
    </w:p>
    <w:p w:rsidR="00BD4A79" w:rsidRPr="00A877D6" w:rsidRDefault="00BD4A79" w:rsidP="00D4683C">
      <w:pPr>
        <w:pStyle w:val="ListItem"/>
        <w:numPr>
          <w:ilvl w:val="0"/>
          <w:numId w:val="44"/>
        </w:numPr>
        <w:spacing w:before="60" w:after="60"/>
      </w:pPr>
      <w:r w:rsidRPr="00A877D6">
        <w:t>a unit description – a short description of the focus</w:t>
      </w:r>
      <w:r w:rsidR="00282977">
        <w:t xml:space="preserve"> </w:t>
      </w:r>
      <w:r w:rsidRPr="00A877D6">
        <w:t>of the unit</w:t>
      </w:r>
    </w:p>
    <w:p w:rsidR="00BD4A79" w:rsidRPr="00A877D6" w:rsidRDefault="00BD4A79" w:rsidP="00D4683C">
      <w:pPr>
        <w:pStyle w:val="ListItem"/>
        <w:numPr>
          <w:ilvl w:val="0"/>
          <w:numId w:val="44"/>
        </w:numPr>
        <w:spacing w:before="60" w:after="60"/>
      </w:pPr>
      <w:proofErr w:type="gramStart"/>
      <w:r w:rsidRPr="00A877D6">
        <w:t>unit</w:t>
      </w:r>
      <w:proofErr w:type="gramEnd"/>
      <w:r w:rsidRPr="00A877D6">
        <w:t xml:space="preserve"> content – the content to be taught and learned.</w:t>
      </w:r>
    </w:p>
    <w:p w:rsidR="009D4A6D" w:rsidRPr="00042703" w:rsidRDefault="009D4A6D" w:rsidP="00216D89">
      <w:pPr>
        <w:pStyle w:val="Heading2"/>
        <w:spacing w:line="276" w:lineRule="auto"/>
      </w:pPr>
      <w:bookmarkStart w:id="12" w:name="_Toc359483729"/>
      <w:bookmarkStart w:id="13" w:name="_Toc359503788"/>
      <w:bookmarkStart w:id="14" w:name="_Toc381793597"/>
      <w:r w:rsidRPr="00042703">
        <w:t>Organisation of content</w:t>
      </w:r>
      <w:bookmarkEnd w:id="12"/>
      <w:bookmarkEnd w:id="13"/>
      <w:bookmarkEnd w:id="14"/>
    </w:p>
    <w:p w:rsidR="00282977" w:rsidRPr="00282977" w:rsidRDefault="00282977" w:rsidP="00216D89">
      <w:pPr>
        <w:pStyle w:val="Paragraph"/>
      </w:pPr>
      <w:bookmarkStart w:id="15" w:name="_Toc359503795"/>
      <w:bookmarkEnd w:id="6"/>
      <w:bookmarkEnd w:id="7"/>
      <w:r w:rsidRPr="00282977">
        <w:t xml:space="preserve">The Economics </w:t>
      </w:r>
      <w:r w:rsidR="00346E25">
        <w:t xml:space="preserve">General course </w:t>
      </w:r>
      <w:r w:rsidRPr="00282977">
        <w:t>develops student learning through two content areas:</w:t>
      </w:r>
    </w:p>
    <w:p w:rsidR="00282977" w:rsidRPr="00282977" w:rsidRDefault="00282977" w:rsidP="00D4683C">
      <w:pPr>
        <w:pStyle w:val="ListItem"/>
        <w:numPr>
          <w:ilvl w:val="0"/>
          <w:numId w:val="45"/>
        </w:numPr>
        <w:spacing w:before="60" w:after="60"/>
      </w:pPr>
      <w:r w:rsidRPr="00282977">
        <w:t>Economic knowledge and understanding</w:t>
      </w:r>
    </w:p>
    <w:p w:rsidR="00282977" w:rsidRPr="00282977" w:rsidRDefault="00282977" w:rsidP="00D4683C">
      <w:pPr>
        <w:pStyle w:val="ListItem"/>
        <w:numPr>
          <w:ilvl w:val="0"/>
          <w:numId w:val="45"/>
        </w:numPr>
        <w:spacing w:before="60" w:after="60"/>
      </w:pPr>
      <w:r w:rsidRPr="00282977">
        <w:t>Economic skills.</w:t>
      </w:r>
    </w:p>
    <w:p w:rsidR="009D4A6D" w:rsidRPr="00042703" w:rsidRDefault="006C085D" w:rsidP="00216D89">
      <w:pPr>
        <w:pStyle w:val="Heading2"/>
        <w:spacing w:line="276" w:lineRule="auto"/>
      </w:pPr>
      <w:bookmarkStart w:id="16" w:name="_Toc381793598"/>
      <w:bookmarkEnd w:id="15"/>
      <w:r w:rsidRPr="00042703">
        <w:t xml:space="preserve">Progression from </w:t>
      </w:r>
      <w:r w:rsidR="00CD13FA">
        <w:t xml:space="preserve">the </w:t>
      </w:r>
      <w:r w:rsidR="00B0469B" w:rsidRPr="00042703">
        <w:t xml:space="preserve">Year </w:t>
      </w:r>
      <w:r w:rsidRPr="00042703">
        <w:t>7–1</w:t>
      </w:r>
      <w:r w:rsidR="00CD13FA">
        <w:t>0 c</w:t>
      </w:r>
      <w:r w:rsidR="00B20776" w:rsidRPr="00042703">
        <w:t>urriculum</w:t>
      </w:r>
      <w:bookmarkEnd w:id="16"/>
    </w:p>
    <w:p w:rsidR="00282977" w:rsidRPr="00282977" w:rsidRDefault="008B0D44" w:rsidP="00216D89">
      <w:pPr>
        <w:pStyle w:val="Paragraph"/>
      </w:pPr>
      <w:r>
        <w:t>This syllabus</w:t>
      </w:r>
      <w:r w:rsidR="00346E25">
        <w:t xml:space="preserve"> </w:t>
      </w:r>
      <w:r w:rsidR="00282977" w:rsidRPr="00282977">
        <w:t>continues to develop students’ learning around the knowledge, understandin</w:t>
      </w:r>
      <w:r w:rsidR="00CD13FA">
        <w:t>gs and skills within the Year 7</w:t>
      </w:r>
      <w:r w:rsidR="00282977" w:rsidRPr="00282977">
        <w:t>–10 Economics and Business curriculum.</w:t>
      </w:r>
    </w:p>
    <w:p w:rsidR="00346E25" w:rsidRPr="00C72B40" w:rsidRDefault="00913DEC" w:rsidP="00C72B40">
      <w:pPr>
        <w:pStyle w:val="Paragraph"/>
        <w:rPr>
          <w:rFonts w:eastAsiaTheme="minorEastAsia" w:cstheme="minorBidi"/>
          <w:lang w:eastAsia="en-US"/>
        </w:rPr>
      </w:pPr>
      <w:r w:rsidRPr="00D0034F">
        <w:rPr>
          <w:rFonts w:eastAsiaTheme="minorEastAsia" w:cstheme="minorBidi"/>
          <w:lang w:eastAsia="en-US"/>
        </w:rPr>
        <w:t xml:space="preserve">The Economics </w:t>
      </w:r>
      <w:r>
        <w:t xml:space="preserve">General </w:t>
      </w:r>
      <w:r w:rsidRPr="00D0034F">
        <w:rPr>
          <w:rFonts w:eastAsiaTheme="minorEastAsia" w:cstheme="minorBidi"/>
          <w:lang w:eastAsia="en-US"/>
        </w:rPr>
        <w:t>course focuses on Australia’s economy and explores Australia’s links with other economies.</w:t>
      </w:r>
      <w:r>
        <w:rPr>
          <w:rFonts w:eastAsiaTheme="minorEastAsia" w:cstheme="minorBidi"/>
          <w:lang w:eastAsia="en-US"/>
        </w:rPr>
        <w:t xml:space="preserve"> The course examines both microeconomic and macroeconomic concepts, and contemporary issues and events, and </w:t>
      </w:r>
      <w:r w:rsidRPr="00D0034F">
        <w:rPr>
          <w:rFonts w:eastAsiaTheme="minorEastAsia" w:cstheme="minorBidi"/>
          <w:lang w:eastAsia="en-US"/>
        </w:rPr>
        <w:t xml:space="preserve">continues to develop the skills of economic reasoning and interpretation with a greater focus on </w:t>
      </w:r>
      <w:r>
        <w:rPr>
          <w:rFonts w:eastAsiaTheme="minorEastAsia" w:cstheme="minorBidi"/>
          <w:lang w:eastAsia="en-US"/>
        </w:rPr>
        <w:t xml:space="preserve">the </w:t>
      </w:r>
      <w:r w:rsidRPr="00D0034F">
        <w:rPr>
          <w:rFonts w:eastAsiaTheme="minorEastAsia" w:cstheme="minorBidi"/>
          <w:lang w:eastAsia="en-US"/>
        </w:rPr>
        <w:t xml:space="preserve">cause and effect </w:t>
      </w:r>
      <w:r>
        <w:rPr>
          <w:rFonts w:eastAsiaTheme="minorEastAsia" w:cstheme="minorBidi"/>
          <w:lang w:eastAsia="en-US"/>
        </w:rPr>
        <w:t xml:space="preserve">relationship </w:t>
      </w:r>
      <w:r w:rsidRPr="00D0034F">
        <w:rPr>
          <w:rFonts w:eastAsiaTheme="minorEastAsia" w:cstheme="minorBidi"/>
          <w:lang w:eastAsia="en-US"/>
        </w:rPr>
        <w:t>and analysis.</w:t>
      </w:r>
      <w:r w:rsidR="00346E25">
        <w:br w:type="page"/>
      </w:r>
    </w:p>
    <w:p w:rsidR="00B935B0" w:rsidRPr="00042703" w:rsidRDefault="008F1102" w:rsidP="00216D89">
      <w:pPr>
        <w:pStyle w:val="Heading2"/>
        <w:spacing w:line="276" w:lineRule="auto"/>
      </w:pPr>
      <w:bookmarkStart w:id="17" w:name="_Toc381793599"/>
      <w:r w:rsidRPr="00042703">
        <w:lastRenderedPageBreak/>
        <w:t xml:space="preserve">Representation of </w:t>
      </w:r>
      <w:r w:rsidR="00CD13FA">
        <w:t xml:space="preserve">the </w:t>
      </w:r>
      <w:r w:rsidRPr="00042703">
        <w:t>g</w:t>
      </w:r>
      <w:r w:rsidR="00B935B0" w:rsidRPr="00042703">
        <w:t>eneral capabilities</w:t>
      </w:r>
      <w:bookmarkEnd w:id="17"/>
    </w:p>
    <w:p w:rsidR="006D2B4A" w:rsidRPr="00042703" w:rsidRDefault="006D2B4A" w:rsidP="00216D89">
      <w:pPr>
        <w:spacing w:before="120" w:line="276" w:lineRule="auto"/>
        <w:rPr>
          <w:rFonts w:cs="Times New Roman"/>
        </w:rPr>
      </w:pPr>
      <w:r w:rsidRPr="00042703">
        <w:rPr>
          <w:rFonts w:cs="Times New Roman"/>
        </w:rPr>
        <w:t xml:space="preserve">The general capabilities encompass the knowledge, skills, behaviours and dispositions that will assist students to live and work successfully in the twenty-first century. Teachers </w:t>
      </w:r>
      <w:r w:rsidR="00CD3839">
        <w:rPr>
          <w:rFonts w:cs="Times New Roman"/>
        </w:rPr>
        <w:t>may</w:t>
      </w:r>
      <w:r w:rsidRPr="00042703">
        <w:rPr>
          <w:rFonts w:cs="Times New Roman"/>
        </w:rPr>
        <w:t xml:space="preserve"> find opportunities to incorporate the capabilities into the teaching and learning program for </w:t>
      </w:r>
      <w:r w:rsidR="00346E25">
        <w:rPr>
          <w:rFonts w:cs="Times New Roman"/>
        </w:rPr>
        <w:t xml:space="preserve">the </w:t>
      </w:r>
      <w:r w:rsidR="00282977">
        <w:rPr>
          <w:rFonts w:ascii="Arial" w:eastAsia="Times New Roman" w:hAnsi="Arial" w:cs="Arial"/>
          <w:sz w:val="20"/>
          <w:szCs w:val="20"/>
          <w:lang w:val="en-US"/>
        </w:rPr>
        <w:t>Economics</w:t>
      </w:r>
      <w:r w:rsidR="00346E25">
        <w:rPr>
          <w:rFonts w:ascii="Arial" w:eastAsia="Times New Roman" w:hAnsi="Arial" w:cs="Arial"/>
          <w:sz w:val="20"/>
          <w:szCs w:val="20"/>
          <w:lang w:val="en-US"/>
        </w:rPr>
        <w:t xml:space="preserve"> </w:t>
      </w:r>
      <w:r w:rsidR="00346E25">
        <w:t>General course</w:t>
      </w:r>
      <w:r w:rsidRPr="00042703">
        <w:rPr>
          <w:rFonts w:cs="Times New Roman"/>
        </w:rPr>
        <w:t>.</w:t>
      </w:r>
      <w:r w:rsidR="00CD3839">
        <w:rPr>
          <w:rFonts w:cs="Times New Roman"/>
        </w:rPr>
        <w:t xml:space="preserve"> The general capabilities are not assessed unless they are identified within the specified unit content.</w:t>
      </w:r>
    </w:p>
    <w:p w:rsidR="00B935B0" w:rsidRPr="00042703" w:rsidRDefault="00B935B0" w:rsidP="00216D89">
      <w:pPr>
        <w:pStyle w:val="Heading3"/>
        <w:spacing w:line="276" w:lineRule="auto"/>
      </w:pPr>
      <w:r w:rsidRPr="00042703">
        <w:t>Literacy</w:t>
      </w:r>
    </w:p>
    <w:p w:rsidR="00972511" w:rsidRDefault="00972511" w:rsidP="00216D89">
      <w:pPr>
        <w:spacing w:before="120" w:line="276" w:lineRule="auto"/>
      </w:pPr>
      <w:r w:rsidRPr="00D0034F">
        <w:t>Students develop literacy capability as they research, read, interpret and analyse sources of information and data on the Australian economy. They learn to use the specialis</w:t>
      </w:r>
      <w:r>
        <w:t>ed language and terminology of e</w:t>
      </w:r>
      <w:r w:rsidRPr="00D0034F">
        <w:t>conomics when discussing and applying concepts to</w:t>
      </w:r>
      <w:r>
        <w:t xml:space="preserve"> contemporary issues and events, </w:t>
      </w:r>
      <w:r w:rsidRPr="00D0034F">
        <w:t>communicating ideas and forming opinions and drawing conclusions.</w:t>
      </w:r>
    </w:p>
    <w:p w:rsidR="006056D8" w:rsidRPr="00042703" w:rsidRDefault="006056D8" w:rsidP="00216D89">
      <w:pPr>
        <w:spacing w:before="240" w:after="60" w:line="276" w:lineRule="auto"/>
        <w:rPr>
          <w:b/>
          <w:bCs/>
          <w:color w:val="595959" w:themeColor="text1" w:themeTint="A6"/>
          <w:sz w:val="26"/>
          <w:szCs w:val="26"/>
        </w:rPr>
      </w:pPr>
      <w:r w:rsidRPr="00F91F14">
        <w:rPr>
          <w:rStyle w:val="Heading3Char"/>
        </w:rPr>
        <w:t>Numeracy</w:t>
      </w:r>
    </w:p>
    <w:p w:rsidR="00282977" w:rsidRPr="00282977" w:rsidRDefault="00282977" w:rsidP="00216D89">
      <w:pPr>
        <w:pStyle w:val="Paragraph"/>
      </w:pPr>
      <w:r w:rsidRPr="00282977">
        <w:t>Students develop and apply numeracy knowledge and skills to develop charts, statistics, graphs and models that display economic data. They interpret and analyse economic data, draw conclusions and make predictions and forecasts and apply this knowledge and skills to real and/or hypothetical experiences.</w:t>
      </w:r>
    </w:p>
    <w:p w:rsidR="00B935B0" w:rsidRPr="00042703" w:rsidRDefault="00B935B0" w:rsidP="00216D89">
      <w:pPr>
        <w:spacing w:before="240" w:after="60" w:line="276" w:lineRule="auto"/>
        <w:rPr>
          <w:b/>
          <w:bCs/>
          <w:color w:val="595959" w:themeColor="text1" w:themeTint="A6"/>
          <w:sz w:val="26"/>
          <w:szCs w:val="26"/>
        </w:rPr>
      </w:pPr>
      <w:r w:rsidRPr="00F91F14">
        <w:rPr>
          <w:rStyle w:val="Heading3Char"/>
        </w:rPr>
        <w:t>Information and communication technology capability</w:t>
      </w:r>
    </w:p>
    <w:p w:rsidR="00282977" w:rsidRPr="00346E25" w:rsidRDefault="00282977" w:rsidP="00216D89">
      <w:pPr>
        <w:pStyle w:val="Paragraph"/>
      </w:pPr>
      <w:r w:rsidRPr="00346E25">
        <w:t xml:space="preserve">Students develop </w:t>
      </w:r>
      <w:r w:rsidR="00346E25">
        <w:t xml:space="preserve">information and communication technology (ICT) </w:t>
      </w:r>
      <w:r w:rsidRPr="00346E25">
        <w:t>capability as they learn to use it effectively and appropriately to access, create and communicate information and ideas. Students develop the knowledge and skills to use digital technologies to research and source information on Australia’s economy including</w:t>
      </w:r>
      <w:r w:rsidR="001360BF" w:rsidRPr="00346E25">
        <w:t>,</w:t>
      </w:r>
      <w:r w:rsidRPr="00346E25">
        <w:t xml:space="preserve"> internet search engines and websites, and library catalogues. Students develop and apply their ICT skills through </w:t>
      </w:r>
      <w:proofErr w:type="spellStart"/>
      <w:r w:rsidRPr="00346E25">
        <w:t>organis</w:t>
      </w:r>
      <w:r w:rsidR="002F10DB">
        <w:t>ing</w:t>
      </w:r>
      <w:proofErr w:type="spellEnd"/>
      <w:r w:rsidR="002F10DB">
        <w:t xml:space="preserve"> and presenting information.</w:t>
      </w:r>
    </w:p>
    <w:p w:rsidR="00B935B0" w:rsidRPr="00042703" w:rsidRDefault="00B935B0" w:rsidP="00216D89">
      <w:pPr>
        <w:spacing w:before="240" w:after="60" w:line="276" w:lineRule="auto"/>
        <w:rPr>
          <w:b/>
          <w:bCs/>
          <w:color w:val="595959" w:themeColor="text1" w:themeTint="A6"/>
          <w:sz w:val="26"/>
          <w:szCs w:val="26"/>
        </w:rPr>
      </w:pPr>
      <w:r w:rsidRPr="00F91F14">
        <w:rPr>
          <w:rStyle w:val="Heading3Char"/>
        </w:rPr>
        <w:t>Critical and creative thinking</w:t>
      </w:r>
    </w:p>
    <w:p w:rsidR="00282977" w:rsidRPr="00282977" w:rsidRDefault="00282977" w:rsidP="00216D89">
      <w:pPr>
        <w:pStyle w:val="Paragraph"/>
      </w:pPr>
      <w:r w:rsidRPr="00282977">
        <w:t>Students develop capability in critical and creative thinking as they learn to generate and evaluate knowledge, clarify concepts and ideas, seek possibilities, consider alternatives and solve problems. Critical thinking and reasoning skills develop through the investigation of Australia’s economy and engaging with data about the economy’s performance. Critical and creative thinking is further developed through the examination of contemporary economic issues and events.</w:t>
      </w:r>
    </w:p>
    <w:p w:rsidR="00B935B0" w:rsidRPr="00042703" w:rsidRDefault="00B935B0" w:rsidP="00216D89">
      <w:pPr>
        <w:spacing w:before="240" w:after="60" w:line="276" w:lineRule="auto"/>
        <w:rPr>
          <w:b/>
          <w:bCs/>
          <w:color w:val="595959" w:themeColor="text1" w:themeTint="A6"/>
          <w:sz w:val="26"/>
          <w:szCs w:val="26"/>
        </w:rPr>
      </w:pPr>
      <w:r w:rsidRPr="00042703">
        <w:rPr>
          <w:b/>
          <w:bCs/>
          <w:color w:val="595959" w:themeColor="text1" w:themeTint="A6"/>
          <w:sz w:val="26"/>
          <w:szCs w:val="26"/>
        </w:rPr>
        <w:t>Personal and social capability</w:t>
      </w:r>
    </w:p>
    <w:p w:rsidR="001B379A" w:rsidRPr="002F10DB" w:rsidRDefault="00282977" w:rsidP="002F10DB">
      <w:pPr>
        <w:pStyle w:val="Paragraph"/>
        <w:rPr>
          <w:rStyle w:val="Heading3Char"/>
          <w:b w:val="0"/>
          <w:bCs w:val="0"/>
          <w:color w:val="auto"/>
          <w:sz w:val="22"/>
          <w:szCs w:val="22"/>
        </w:rPr>
      </w:pPr>
      <w:r w:rsidRPr="00282977">
        <w:t xml:space="preserve">Students develop personal and social capability as they learn to understand themselves and others, and manage their relationships, lives, work and learning more effectively. Students are encouraged to develop and apply personal, interpersonal and social skills, </w:t>
      </w:r>
      <w:proofErr w:type="spellStart"/>
      <w:r w:rsidRPr="00282977">
        <w:t>behaviours</w:t>
      </w:r>
      <w:proofErr w:type="spellEnd"/>
      <w:r w:rsidRPr="00282977">
        <w:t xml:space="preserve"> and dispositions through working collaboratively and constructively in groups, developin</w:t>
      </w:r>
      <w:r w:rsidR="00346E25">
        <w:t>g their communication, decision-</w:t>
      </w:r>
      <w:r w:rsidRPr="00282977">
        <w:t>making, conflict resolution and leadership skills, learning to appreciate the insights and perspectives of others, and the interdependence of economic decisions.</w:t>
      </w:r>
      <w:r w:rsidR="001B379A">
        <w:rPr>
          <w:rStyle w:val="Heading3Char"/>
        </w:rPr>
        <w:br w:type="page"/>
      </w:r>
    </w:p>
    <w:p w:rsidR="00B935B0" w:rsidRPr="00042703" w:rsidRDefault="002B5EC8" w:rsidP="00216D89">
      <w:pPr>
        <w:spacing w:before="240" w:after="60" w:line="276" w:lineRule="auto"/>
        <w:rPr>
          <w:b/>
          <w:bCs/>
          <w:color w:val="595959" w:themeColor="text1" w:themeTint="A6"/>
          <w:sz w:val="26"/>
          <w:szCs w:val="26"/>
        </w:rPr>
      </w:pPr>
      <w:r>
        <w:rPr>
          <w:rStyle w:val="Heading3Char"/>
        </w:rPr>
        <w:lastRenderedPageBreak/>
        <w:t>Ethical understanding</w:t>
      </w:r>
    </w:p>
    <w:p w:rsidR="00CD3839" w:rsidRDefault="00282977" w:rsidP="00216D89">
      <w:pPr>
        <w:pStyle w:val="Paragraph"/>
      </w:pPr>
      <w:r w:rsidRPr="00282977">
        <w:t>Students develop ethical understanding as they identify and investigate ethical concepts, values and principles, and understand how reasoning can assist ethical judgement. Students recognise different perspectives and have opportunities to explore their own rights and responsibilities as participants in the economy.</w:t>
      </w:r>
    </w:p>
    <w:p w:rsidR="00B935B0" w:rsidRPr="00042703" w:rsidRDefault="00B935B0" w:rsidP="00216D89">
      <w:pPr>
        <w:spacing w:before="240" w:after="60" w:line="276" w:lineRule="auto"/>
        <w:rPr>
          <w:b/>
          <w:bCs/>
          <w:color w:val="595959" w:themeColor="text1" w:themeTint="A6"/>
          <w:sz w:val="26"/>
          <w:szCs w:val="26"/>
        </w:rPr>
      </w:pPr>
      <w:r w:rsidRPr="00F91F14">
        <w:rPr>
          <w:rStyle w:val="Heading3Char"/>
        </w:rPr>
        <w:t>Intercultural understanding</w:t>
      </w:r>
    </w:p>
    <w:p w:rsidR="00282977" w:rsidRPr="00282977" w:rsidRDefault="00282977" w:rsidP="00216D89">
      <w:pPr>
        <w:pStyle w:val="Paragraph"/>
      </w:pPr>
      <w:bookmarkStart w:id="18" w:name="_Toc347908213"/>
      <w:r w:rsidRPr="00282977">
        <w:t>Students develop intercultural understanding as they engage with their own cultures, values and beliefs, and those of others. The capability involves students learning about, and engaging with, diverse cultures in ways that recognise commonalities and differences in responding to economic issues and events. They consider the effects of decisions made by sectors of the Australian economy, and by economies overseas, to highlight the interconnections between cultures and countries.</w:t>
      </w:r>
    </w:p>
    <w:p w:rsidR="00E5522A" w:rsidRPr="00042703" w:rsidRDefault="00C858E6" w:rsidP="00216D89">
      <w:pPr>
        <w:pStyle w:val="Heading2"/>
        <w:spacing w:line="276" w:lineRule="auto"/>
      </w:pPr>
      <w:bookmarkStart w:id="19" w:name="_Toc381793600"/>
      <w:r w:rsidRPr="00042703">
        <w:t xml:space="preserve">Representation of </w:t>
      </w:r>
      <w:r w:rsidR="00CD13FA">
        <w:t xml:space="preserve">the </w:t>
      </w:r>
      <w:r w:rsidRPr="00042703">
        <w:t>c</w:t>
      </w:r>
      <w:r w:rsidR="007F70C7" w:rsidRPr="00042703">
        <w:t>ross-c</w:t>
      </w:r>
      <w:r w:rsidR="00E5522A" w:rsidRPr="00042703">
        <w:t xml:space="preserve">urriculum </w:t>
      </w:r>
      <w:r w:rsidR="00387500" w:rsidRPr="00042703">
        <w:t>p</w:t>
      </w:r>
      <w:r w:rsidR="00E5522A" w:rsidRPr="00042703">
        <w:t>riorities</w:t>
      </w:r>
      <w:bookmarkEnd w:id="19"/>
    </w:p>
    <w:p w:rsidR="00D0093B" w:rsidRPr="00CD3839" w:rsidRDefault="00151DC5" w:rsidP="00216D89">
      <w:pPr>
        <w:spacing w:before="120" w:line="276" w:lineRule="auto"/>
      </w:pPr>
      <w:r w:rsidRPr="00042703">
        <w:rPr>
          <w:rFonts w:cs="Times New Roman"/>
        </w:rPr>
        <w:t>The c</w:t>
      </w:r>
      <w:r w:rsidR="00D0093B" w:rsidRPr="00042703">
        <w:rPr>
          <w:rFonts w:cs="Times New Roman"/>
        </w:rPr>
        <w:t xml:space="preserve">ross-curriculum priorities address contemporary issues </w:t>
      </w:r>
      <w:r w:rsidR="001360BF">
        <w:rPr>
          <w:rFonts w:cs="Times New Roman"/>
        </w:rPr>
        <w:t>that</w:t>
      </w:r>
      <w:r w:rsidR="00D0093B" w:rsidRPr="00042703">
        <w:rPr>
          <w:rFonts w:cs="Times New Roman"/>
        </w:rPr>
        <w:t xml:space="preserve"> students face in a globalised world. Teachers </w:t>
      </w:r>
      <w:r w:rsidR="00CD3839">
        <w:rPr>
          <w:rFonts w:cs="Times New Roman"/>
        </w:rPr>
        <w:t>may</w:t>
      </w:r>
      <w:r w:rsidR="00D0093B" w:rsidRPr="00042703">
        <w:rPr>
          <w:rFonts w:cs="Times New Roman"/>
        </w:rPr>
        <w:t xml:space="preserve"> find opportunities to incorporate the priorities into the teaching and learning program for </w:t>
      </w:r>
      <w:r w:rsidR="00CD3839">
        <w:rPr>
          <w:rFonts w:cs="Times New Roman"/>
        </w:rPr>
        <w:t xml:space="preserve">the </w:t>
      </w:r>
      <w:r w:rsidR="00282977">
        <w:rPr>
          <w:rFonts w:ascii="Arial" w:eastAsia="Times New Roman" w:hAnsi="Arial" w:cs="Arial"/>
          <w:sz w:val="20"/>
          <w:szCs w:val="20"/>
          <w:lang w:val="en-US"/>
        </w:rPr>
        <w:t>Economics</w:t>
      </w:r>
      <w:r w:rsidR="00CD3839">
        <w:rPr>
          <w:rFonts w:eastAsiaTheme="minorHAnsi" w:cs="Calibri"/>
          <w:lang w:val="en-US" w:eastAsia="en-AU"/>
        </w:rPr>
        <w:t xml:space="preserve"> General course</w:t>
      </w:r>
      <w:r w:rsidR="005D1BB3">
        <w:rPr>
          <w:rFonts w:eastAsiaTheme="minorHAnsi" w:cs="Calibri"/>
          <w:lang w:val="en-US" w:eastAsia="en-AU"/>
        </w:rPr>
        <w:t xml:space="preserve">. </w:t>
      </w:r>
      <w:r w:rsidR="00CD3839">
        <w:t>The cross-curriculum priorities are not assessed unless they are identified within the specified unit content.</w:t>
      </w:r>
    </w:p>
    <w:p w:rsidR="00890076" w:rsidRPr="00042703" w:rsidRDefault="00890076" w:rsidP="00216D89">
      <w:pPr>
        <w:spacing w:before="240" w:after="60" w:line="276" w:lineRule="auto"/>
        <w:rPr>
          <w:b/>
          <w:bCs/>
          <w:color w:val="595959" w:themeColor="text1" w:themeTint="A6"/>
          <w:sz w:val="26"/>
          <w:szCs w:val="26"/>
        </w:rPr>
      </w:pPr>
      <w:r w:rsidRPr="00F91F14">
        <w:rPr>
          <w:rStyle w:val="Heading3Char"/>
        </w:rPr>
        <w:t>Aboriginal and Torres Strait Islander histories and cultures</w:t>
      </w:r>
    </w:p>
    <w:p w:rsidR="00AD04A3" w:rsidRDefault="00AD04A3" w:rsidP="00216D89">
      <w:pPr>
        <w:spacing w:before="120" w:line="276" w:lineRule="auto"/>
      </w:pPr>
      <w:r w:rsidRPr="00DA686A">
        <w:t xml:space="preserve">Economics provides an opportunity for students to learn about Aboriginal and Torres Strait Islander decisions in relation to the use of resources in the past and present. Students have the opportunity to explore </w:t>
      </w:r>
      <w:r>
        <w:t>the interconnectedness between People, Culture and Country/Place and past and present economic activities.</w:t>
      </w:r>
    </w:p>
    <w:p w:rsidR="00890076" w:rsidRPr="00042703" w:rsidRDefault="00890076" w:rsidP="00216D89">
      <w:pPr>
        <w:spacing w:before="240" w:after="60" w:line="276" w:lineRule="auto"/>
        <w:rPr>
          <w:b/>
          <w:bCs/>
          <w:color w:val="595959" w:themeColor="text1" w:themeTint="A6"/>
          <w:sz w:val="26"/>
          <w:szCs w:val="26"/>
        </w:rPr>
      </w:pPr>
      <w:r w:rsidRPr="00F91F14">
        <w:rPr>
          <w:rStyle w:val="Heading3Char"/>
        </w:rPr>
        <w:t>Asia and Australia's engagement with Asia</w:t>
      </w:r>
    </w:p>
    <w:p w:rsidR="00282977" w:rsidRPr="00282977" w:rsidRDefault="00282977" w:rsidP="00216D89">
      <w:pPr>
        <w:pStyle w:val="Paragraph"/>
      </w:pPr>
      <w:r w:rsidRPr="00282977">
        <w:t>Economics provides an opportunity for students to learn about current and possible future trade relationship</w:t>
      </w:r>
      <w:r w:rsidR="001360BF">
        <w:t>s</w:t>
      </w:r>
      <w:r w:rsidRPr="00282977">
        <w:t xml:space="preserve"> between Australia and Asia. Students have the opportunity to explore the role that Australia plays in economic developments in the Asia region and the contribution of Asian economies to economic activity in Australia.</w:t>
      </w:r>
    </w:p>
    <w:p w:rsidR="00890076" w:rsidRPr="00042703" w:rsidRDefault="00890076" w:rsidP="00216D89">
      <w:pPr>
        <w:spacing w:before="240" w:after="60" w:line="276" w:lineRule="auto"/>
        <w:rPr>
          <w:b/>
          <w:bCs/>
          <w:color w:val="595959" w:themeColor="text1" w:themeTint="A6"/>
          <w:sz w:val="26"/>
          <w:szCs w:val="26"/>
        </w:rPr>
      </w:pPr>
      <w:r w:rsidRPr="00F91F14">
        <w:rPr>
          <w:rStyle w:val="Heading3Char"/>
        </w:rPr>
        <w:t>Sustainability</w:t>
      </w:r>
    </w:p>
    <w:p w:rsidR="00516CCF" w:rsidRPr="002031E9" w:rsidRDefault="00282977" w:rsidP="002031E9">
      <w:pPr>
        <w:pStyle w:val="Paragraph"/>
      </w:pPr>
      <w:bookmarkStart w:id="20" w:name="_Toc359503799"/>
      <w:bookmarkEnd w:id="18"/>
      <w:r w:rsidRPr="00282977">
        <w:t>Economics provides an opportunity for students to learn about the interdependence of economic, social and ecological systems. Students have the opportunity to explore the need for balancing economic development, environmental sustainability, and society’s obligations to meet the needs and wants of the present without compromising the ability of future generations to meet their needs and wants. Economics provi</w:t>
      </w:r>
      <w:r w:rsidR="00346E25">
        <w:t xml:space="preserve">des the tools for that decision </w:t>
      </w:r>
      <w:r w:rsidRPr="00282977">
        <w:t>making.</w:t>
      </w:r>
      <w:r w:rsidR="00516CCF" w:rsidRPr="00042703">
        <w:br w:type="page"/>
      </w:r>
    </w:p>
    <w:p w:rsidR="008669DF" w:rsidRPr="00042703" w:rsidRDefault="008669DF" w:rsidP="00216D89">
      <w:pPr>
        <w:pStyle w:val="Heading1"/>
        <w:spacing w:line="276" w:lineRule="auto"/>
      </w:pPr>
      <w:bookmarkStart w:id="21" w:name="_Toc381793601"/>
      <w:r w:rsidRPr="00042703">
        <w:lastRenderedPageBreak/>
        <w:t xml:space="preserve">Unit 1 </w:t>
      </w:r>
      <w:r w:rsidR="00116223" w:rsidRPr="00042703">
        <w:t>–</w:t>
      </w:r>
      <w:r w:rsidR="006A0088" w:rsidRPr="00042703">
        <w:t xml:space="preserve"> </w:t>
      </w:r>
      <w:r w:rsidR="00282977" w:rsidRPr="00282977">
        <w:t>Personal economic and financial decision</w:t>
      </w:r>
      <w:r w:rsidR="00282977">
        <w:t>s</w:t>
      </w:r>
      <w:bookmarkEnd w:id="21"/>
    </w:p>
    <w:p w:rsidR="009D4A6D" w:rsidRPr="00042703" w:rsidRDefault="009D4A6D" w:rsidP="00216D89">
      <w:pPr>
        <w:pStyle w:val="Heading2"/>
        <w:spacing w:line="276" w:lineRule="auto"/>
      </w:pPr>
      <w:bookmarkStart w:id="22" w:name="_Toc381793602"/>
      <w:r w:rsidRPr="00042703">
        <w:t>Unit description</w:t>
      </w:r>
      <w:bookmarkEnd w:id="20"/>
      <w:bookmarkEnd w:id="22"/>
    </w:p>
    <w:p w:rsidR="00282977" w:rsidRPr="00282977" w:rsidRDefault="00282977" w:rsidP="00216D89">
      <w:pPr>
        <w:pStyle w:val="Paragraph"/>
      </w:pPr>
      <w:bookmarkStart w:id="23" w:name="_Toc359503800"/>
      <w:bookmarkStart w:id="24" w:name="_Toc347908214"/>
      <w:r w:rsidRPr="00282977">
        <w:t xml:space="preserve">This unit explores </w:t>
      </w:r>
      <w:r w:rsidRPr="00282977">
        <w:rPr>
          <w:bCs/>
        </w:rPr>
        <w:t>personal economic and financial decisions in relation to earning and spending income and building wealth.</w:t>
      </w:r>
      <w:r w:rsidRPr="00282977">
        <w:t xml:space="preserve"> It explores how individuals derive an income and make consumption and savings decisions for both the present and the future</w:t>
      </w:r>
      <w:r w:rsidR="00265117">
        <w:t xml:space="preserve">, </w:t>
      </w:r>
      <w:r w:rsidRPr="00282977">
        <w:t xml:space="preserve">and how the Commonwealth Government can influence these decisions. </w:t>
      </w:r>
    </w:p>
    <w:p w:rsidR="009D4A6D" w:rsidRPr="00042703" w:rsidRDefault="009D4A6D" w:rsidP="00216D89">
      <w:pPr>
        <w:pStyle w:val="Heading2"/>
        <w:spacing w:line="276" w:lineRule="auto"/>
      </w:pPr>
      <w:bookmarkStart w:id="25" w:name="_Toc358372276"/>
      <w:bookmarkStart w:id="26" w:name="_Toc359503802"/>
      <w:bookmarkStart w:id="27" w:name="_Toc381793603"/>
      <w:bookmarkEnd w:id="23"/>
      <w:bookmarkEnd w:id="24"/>
      <w:r w:rsidRPr="00042703">
        <w:t>Unit content</w:t>
      </w:r>
      <w:bookmarkEnd w:id="25"/>
      <w:bookmarkEnd w:id="26"/>
      <w:bookmarkEnd w:id="27"/>
    </w:p>
    <w:p w:rsidR="009D4A6D" w:rsidRPr="00042703" w:rsidRDefault="009D4A6D" w:rsidP="00A50E25">
      <w:pPr>
        <w:spacing w:line="276" w:lineRule="auto"/>
      </w:pPr>
      <w:r w:rsidRPr="00042703">
        <w:t>This unit includes the knowledge, understandings and skills described below.</w:t>
      </w:r>
    </w:p>
    <w:p w:rsidR="00663904" w:rsidRPr="00663904" w:rsidRDefault="00663904" w:rsidP="00A50E25">
      <w:pPr>
        <w:pStyle w:val="Heading3"/>
        <w:spacing w:before="120" w:line="276" w:lineRule="auto"/>
      </w:pPr>
      <w:r w:rsidRPr="00663904">
        <w:t>Economic knowledge and understanding</w:t>
      </w:r>
    </w:p>
    <w:p w:rsidR="00663904" w:rsidRPr="00D31692" w:rsidRDefault="00663904" w:rsidP="00216D89">
      <w:pPr>
        <w:pStyle w:val="Heading5"/>
      </w:pPr>
      <w:r w:rsidRPr="00D31692">
        <w:t>Personal earning, spending and saving decisions</w:t>
      </w:r>
    </w:p>
    <w:p w:rsidR="00663904" w:rsidRDefault="00663904" w:rsidP="00216D89">
      <w:pPr>
        <w:pStyle w:val="Paragraph"/>
      </w:pPr>
      <w:r w:rsidRPr="00663904">
        <w:t>Over time</w:t>
      </w:r>
      <w:r w:rsidR="00265117">
        <w:t>,</w:t>
      </w:r>
      <w:r w:rsidRPr="00663904">
        <w:t xml:space="preserve"> individuals and families make many decisions about how to satisfy their wants and needs. All decisions involve trade-offs due to the scarcity of resources that can be used to fund them. The focus of this section is </w:t>
      </w:r>
      <w:r w:rsidR="00E47FA3">
        <w:t xml:space="preserve">on </w:t>
      </w:r>
      <w:r w:rsidRPr="00663904">
        <w:t>the earning and spending of income over time including the building of personal wealth.</w:t>
      </w:r>
    </w:p>
    <w:p w:rsidR="00663904" w:rsidRPr="00663904" w:rsidRDefault="00663904" w:rsidP="00ED669D">
      <w:pPr>
        <w:pStyle w:val="ListItem"/>
        <w:numPr>
          <w:ilvl w:val="0"/>
          <w:numId w:val="46"/>
        </w:numPr>
      </w:pPr>
      <w:r w:rsidRPr="00663904">
        <w:t>the concepts of income and wealth</w:t>
      </w:r>
    </w:p>
    <w:p w:rsidR="003761FE" w:rsidRPr="00663904" w:rsidRDefault="00663904" w:rsidP="00ED669D">
      <w:pPr>
        <w:pStyle w:val="ListItem"/>
        <w:numPr>
          <w:ilvl w:val="0"/>
          <w:numId w:val="46"/>
        </w:numPr>
        <w:ind w:left="357" w:hanging="357"/>
      </w:pPr>
      <w:r w:rsidRPr="00663904">
        <w:t>the opportunities people have to obtain an income and/or wealth</w:t>
      </w:r>
      <w:r w:rsidR="00346E25">
        <w:t>,</w:t>
      </w:r>
      <w:r w:rsidRPr="00663904">
        <w:t xml:space="preserve"> including</w:t>
      </w:r>
      <w:r w:rsidR="003761FE" w:rsidRPr="00663904">
        <w:t>:</w:t>
      </w:r>
    </w:p>
    <w:p w:rsidR="003761FE" w:rsidRPr="00663904" w:rsidRDefault="003761FE"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work</w:t>
      </w:r>
    </w:p>
    <w:p w:rsidR="003761FE" w:rsidRPr="00663904" w:rsidRDefault="003761FE"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inheritance</w:t>
      </w:r>
    </w:p>
    <w:p w:rsidR="003761FE" w:rsidRPr="00663904" w:rsidRDefault="003761FE"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superannuation</w:t>
      </w:r>
    </w:p>
    <w:p w:rsidR="003761FE" w:rsidRPr="00663904" w:rsidRDefault="003761FE"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investment returns</w:t>
      </w:r>
    </w:p>
    <w:p w:rsidR="003761FE" w:rsidRPr="00663904" w:rsidRDefault="003761FE" w:rsidP="00216D89">
      <w:pPr>
        <w:numPr>
          <w:ilvl w:val="0"/>
          <w:numId w:val="27"/>
        </w:numPr>
        <w:spacing w:after="0" w:line="276" w:lineRule="auto"/>
        <w:ind w:left="709" w:hanging="284"/>
        <w:contextualSpacing/>
        <w:rPr>
          <w:rFonts w:eastAsia="MS Mincho" w:cs="Calibri"/>
        </w:rPr>
      </w:pPr>
      <w:r>
        <w:rPr>
          <w:rFonts w:eastAsia="MS Mincho" w:cs="Calibri"/>
        </w:rPr>
        <w:t>social welfare payments</w:t>
      </w:r>
    </w:p>
    <w:p w:rsidR="001360BF" w:rsidRDefault="00663904" w:rsidP="00ED669D">
      <w:pPr>
        <w:pStyle w:val="ListItem"/>
        <w:numPr>
          <w:ilvl w:val="0"/>
          <w:numId w:val="46"/>
        </w:numPr>
        <w:ind w:left="357" w:hanging="357"/>
      </w:pPr>
      <w:r w:rsidRPr="00663904">
        <w:t>reasons why wages and salaries differ</w:t>
      </w:r>
      <w:r w:rsidR="00346E25">
        <w:t>,</w:t>
      </w:r>
      <w:r w:rsidRPr="00663904">
        <w:t xml:space="preserve"> including</w:t>
      </w:r>
      <w:r w:rsidR="001360BF">
        <w:t>:</w:t>
      </w:r>
    </w:p>
    <w:p w:rsidR="001360BF" w:rsidRPr="000B5299" w:rsidRDefault="001360BF" w:rsidP="00216D89">
      <w:pPr>
        <w:numPr>
          <w:ilvl w:val="0"/>
          <w:numId w:val="27"/>
        </w:numPr>
        <w:tabs>
          <w:tab w:val="num" w:pos="709"/>
        </w:tabs>
        <w:spacing w:after="0" w:line="276" w:lineRule="auto"/>
        <w:ind w:left="709" w:hanging="284"/>
        <w:contextualSpacing/>
        <w:rPr>
          <w:rFonts w:eastAsia="MS Mincho" w:cs="Calibri"/>
        </w:rPr>
      </w:pPr>
      <w:r w:rsidRPr="000B5299">
        <w:rPr>
          <w:rFonts w:eastAsia="MS Mincho" w:cs="Calibri"/>
        </w:rPr>
        <w:t>education and training</w:t>
      </w:r>
    </w:p>
    <w:p w:rsidR="001360BF" w:rsidRPr="000B5299" w:rsidRDefault="001360BF" w:rsidP="00216D89">
      <w:pPr>
        <w:numPr>
          <w:ilvl w:val="0"/>
          <w:numId w:val="27"/>
        </w:numPr>
        <w:tabs>
          <w:tab w:val="num" w:pos="709"/>
        </w:tabs>
        <w:spacing w:after="0" w:line="276" w:lineRule="auto"/>
        <w:ind w:left="709" w:hanging="284"/>
        <w:contextualSpacing/>
        <w:rPr>
          <w:rFonts w:eastAsia="MS Mincho" w:cs="Calibri"/>
        </w:rPr>
      </w:pPr>
      <w:r w:rsidRPr="000B5299">
        <w:rPr>
          <w:rFonts w:eastAsia="MS Mincho" w:cs="Calibri"/>
        </w:rPr>
        <w:t>occupation</w:t>
      </w:r>
    </w:p>
    <w:p w:rsidR="001360BF" w:rsidRPr="000B5299" w:rsidRDefault="001360BF" w:rsidP="00216D89">
      <w:pPr>
        <w:numPr>
          <w:ilvl w:val="0"/>
          <w:numId w:val="27"/>
        </w:numPr>
        <w:tabs>
          <w:tab w:val="num" w:pos="709"/>
        </w:tabs>
        <w:spacing w:after="0" w:line="276" w:lineRule="auto"/>
        <w:ind w:left="709" w:hanging="284"/>
        <w:contextualSpacing/>
        <w:rPr>
          <w:rFonts w:eastAsia="MS Mincho" w:cs="Calibri"/>
        </w:rPr>
      </w:pPr>
      <w:r w:rsidRPr="000B5299">
        <w:rPr>
          <w:rFonts w:eastAsia="MS Mincho" w:cs="Calibri"/>
        </w:rPr>
        <w:t>location</w:t>
      </w:r>
    </w:p>
    <w:p w:rsidR="001360BF" w:rsidRPr="000B5299" w:rsidRDefault="001360BF" w:rsidP="00216D89">
      <w:pPr>
        <w:numPr>
          <w:ilvl w:val="0"/>
          <w:numId w:val="27"/>
        </w:numPr>
        <w:tabs>
          <w:tab w:val="num" w:pos="709"/>
        </w:tabs>
        <w:spacing w:after="0" w:line="276" w:lineRule="auto"/>
        <w:ind w:left="709" w:hanging="284"/>
        <w:contextualSpacing/>
        <w:rPr>
          <w:rFonts w:eastAsia="MS Mincho" w:cs="Calibri"/>
        </w:rPr>
      </w:pPr>
      <w:r w:rsidRPr="000B5299">
        <w:rPr>
          <w:rFonts w:eastAsia="MS Mincho" w:cs="Calibri"/>
        </w:rPr>
        <w:t>age</w:t>
      </w:r>
    </w:p>
    <w:p w:rsidR="001360BF" w:rsidRPr="000B5299" w:rsidRDefault="001360BF" w:rsidP="00216D89">
      <w:pPr>
        <w:numPr>
          <w:ilvl w:val="0"/>
          <w:numId w:val="27"/>
        </w:numPr>
        <w:tabs>
          <w:tab w:val="num" w:pos="709"/>
        </w:tabs>
        <w:spacing w:after="0" w:line="276" w:lineRule="auto"/>
        <w:ind w:left="709" w:hanging="284"/>
        <w:contextualSpacing/>
        <w:rPr>
          <w:rFonts w:eastAsia="MS Mincho" w:cs="Calibri"/>
        </w:rPr>
      </w:pPr>
      <w:r w:rsidRPr="000B5299">
        <w:rPr>
          <w:rFonts w:eastAsia="MS Mincho" w:cs="Calibri"/>
        </w:rPr>
        <w:t>gender</w:t>
      </w:r>
    </w:p>
    <w:p w:rsidR="00663904" w:rsidRPr="000B5299" w:rsidRDefault="00663904" w:rsidP="00216D89">
      <w:pPr>
        <w:numPr>
          <w:ilvl w:val="0"/>
          <w:numId w:val="27"/>
        </w:numPr>
        <w:tabs>
          <w:tab w:val="num" w:pos="709"/>
        </w:tabs>
        <w:spacing w:after="0" w:line="276" w:lineRule="auto"/>
        <w:ind w:left="709" w:hanging="284"/>
        <w:contextualSpacing/>
        <w:rPr>
          <w:rFonts w:eastAsia="MS Mincho" w:cs="Calibri"/>
        </w:rPr>
      </w:pPr>
      <w:r w:rsidRPr="000B5299">
        <w:rPr>
          <w:rFonts w:eastAsia="MS Mincho" w:cs="Calibri"/>
        </w:rPr>
        <w:t>experience</w:t>
      </w:r>
    </w:p>
    <w:p w:rsidR="00663904" w:rsidRPr="00663904" w:rsidRDefault="00663904" w:rsidP="00ED669D">
      <w:pPr>
        <w:pStyle w:val="ListItem"/>
        <w:numPr>
          <w:ilvl w:val="0"/>
          <w:numId w:val="46"/>
        </w:numPr>
        <w:ind w:left="357" w:hanging="357"/>
      </w:pPr>
      <w:r w:rsidRPr="00663904">
        <w:t xml:space="preserve">influences on </w:t>
      </w:r>
      <w:r w:rsidR="008B7F1D">
        <w:t>individual purchasing decisions</w:t>
      </w:r>
      <w:r w:rsidR="00445F2C">
        <w:t>, including:</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level of income</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price</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cost of, and access to credit</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price and availability of substitutes</w:t>
      </w:r>
    </w:p>
    <w:p w:rsidR="00663904" w:rsidRPr="00663904" w:rsidRDefault="00663904" w:rsidP="00216D89">
      <w:pPr>
        <w:numPr>
          <w:ilvl w:val="0"/>
          <w:numId w:val="27"/>
        </w:numPr>
        <w:spacing w:after="0" w:line="276" w:lineRule="auto"/>
        <w:ind w:left="709" w:hanging="284"/>
        <w:contextualSpacing/>
        <w:rPr>
          <w:rFonts w:eastAsia="MS Mincho" w:cs="Calibri"/>
        </w:rPr>
      </w:pPr>
      <w:r w:rsidRPr="00663904">
        <w:rPr>
          <w:rFonts w:eastAsia="MS Mincho" w:cs="Calibri"/>
        </w:rPr>
        <w:t>tastes and preferences</w:t>
      </w:r>
    </w:p>
    <w:p w:rsidR="00663904" w:rsidRPr="00663904" w:rsidRDefault="00663904" w:rsidP="00216D89">
      <w:pPr>
        <w:numPr>
          <w:ilvl w:val="0"/>
          <w:numId w:val="27"/>
        </w:numPr>
        <w:spacing w:after="0" w:line="276" w:lineRule="auto"/>
        <w:ind w:left="709" w:hanging="284"/>
        <w:contextualSpacing/>
        <w:rPr>
          <w:rFonts w:eastAsia="MS Mincho" w:cs="Calibri"/>
        </w:rPr>
      </w:pPr>
      <w:r w:rsidRPr="00663904">
        <w:rPr>
          <w:rFonts w:eastAsia="MS Mincho" w:cs="Calibri"/>
        </w:rPr>
        <w:t>advertising and marketing</w:t>
      </w:r>
    </w:p>
    <w:p w:rsidR="002D33A3" w:rsidRPr="00663904" w:rsidRDefault="00663904" w:rsidP="00ED669D">
      <w:pPr>
        <w:pStyle w:val="ListItem"/>
        <w:numPr>
          <w:ilvl w:val="0"/>
          <w:numId w:val="46"/>
        </w:numPr>
        <w:ind w:left="357" w:hanging="357"/>
      </w:pPr>
      <w:r w:rsidRPr="00663904">
        <w:t>methods of paying for, or financing, goods and services</w:t>
      </w:r>
      <w:r w:rsidR="00346E25">
        <w:t>,</w:t>
      </w:r>
      <w:r w:rsidRPr="00663904">
        <w:t xml:space="preserve"> including</w:t>
      </w:r>
      <w:r w:rsidR="002D33A3" w:rsidRPr="00663904">
        <w:t>:</w:t>
      </w:r>
    </w:p>
    <w:p w:rsidR="002D33A3" w:rsidRPr="00663904" w:rsidRDefault="002D33A3"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cash</w:t>
      </w:r>
    </w:p>
    <w:p w:rsidR="002D33A3" w:rsidRPr="00663904" w:rsidRDefault="002D33A3"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layby</w:t>
      </w:r>
    </w:p>
    <w:p w:rsidR="002D33A3" w:rsidRPr="00663904" w:rsidRDefault="002D33A3"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credit</w:t>
      </w:r>
    </w:p>
    <w:p w:rsidR="00663904" w:rsidRPr="00663904" w:rsidRDefault="00663904" w:rsidP="00ED669D">
      <w:pPr>
        <w:pStyle w:val="ListItem"/>
        <w:numPr>
          <w:ilvl w:val="0"/>
          <w:numId w:val="46"/>
        </w:numPr>
        <w:ind w:left="357" w:hanging="357"/>
      </w:pPr>
      <w:r w:rsidRPr="00663904">
        <w:lastRenderedPageBreak/>
        <w:t>features of a purchase and/or credit contract that would influence pur</w:t>
      </w:r>
      <w:r w:rsidR="008B7F1D">
        <w:t>chasing and financing decisions</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deposit</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interest rates</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fees and charges</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time period</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total amount payable</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terms and conditions including penalties for default</w:t>
      </w:r>
    </w:p>
    <w:p w:rsidR="00340A9B" w:rsidRPr="00663904" w:rsidRDefault="00663904" w:rsidP="00ED669D">
      <w:pPr>
        <w:pStyle w:val="ListItem"/>
        <w:numPr>
          <w:ilvl w:val="0"/>
          <w:numId w:val="46"/>
        </w:numPr>
        <w:ind w:left="357" w:hanging="357"/>
      </w:pPr>
      <w:r w:rsidRPr="00663904">
        <w:t>personal financial objectives</w:t>
      </w:r>
      <w:r w:rsidR="00346E25">
        <w:t>,</w:t>
      </w:r>
      <w:r w:rsidRPr="00663904">
        <w:t xml:space="preserve"> including</w:t>
      </w:r>
      <w:r w:rsidR="00340A9B" w:rsidRPr="00663904">
        <w:t>:</w:t>
      </w:r>
    </w:p>
    <w:p w:rsidR="00340A9B" w:rsidRPr="00663904" w:rsidRDefault="00445F2C"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saving</w:t>
      </w:r>
      <w:r w:rsidR="00340A9B">
        <w:rPr>
          <w:rFonts w:eastAsia="MS Mincho" w:cs="Calibri"/>
        </w:rPr>
        <w:t xml:space="preserve"> </w:t>
      </w:r>
      <w:r>
        <w:rPr>
          <w:rFonts w:eastAsia="MS Mincho" w:cs="Calibri"/>
        </w:rPr>
        <w:t>for the future</w:t>
      </w:r>
    </w:p>
    <w:p w:rsidR="00340A9B" w:rsidRPr="00663904" w:rsidRDefault="00340A9B"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saving for durable consumption</w:t>
      </w:r>
    </w:p>
    <w:p w:rsidR="00340A9B" w:rsidRPr="00663904" w:rsidRDefault="00340A9B"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building financial assets for retirement</w:t>
      </w:r>
    </w:p>
    <w:p w:rsidR="00663904" w:rsidRPr="00663904" w:rsidRDefault="00663904" w:rsidP="00ED669D">
      <w:pPr>
        <w:pStyle w:val="ListItem"/>
        <w:numPr>
          <w:ilvl w:val="0"/>
          <w:numId w:val="46"/>
        </w:numPr>
        <w:ind w:left="357" w:hanging="357"/>
      </w:pPr>
      <w:r w:rsidRPr="00663904">
        <w:t xml:space="preserve">the necessary trade-offs between satisfying short term and long term </w:t>
      </w:r>
      <w:r w:rsidR="00340A9B">
        <w:t xml:space="preserve">personal financial </w:t>
      </w:r>
      <w:r w:rsidRPr="00663904">
        <w:t>objectives</w:t>
      </w:r>
    </w:p>
    <w:p w:rsidR="00663904" w:rsidRPr="00663904" w:rsidRDefault="00663904" w:rsidP="00ED669D">
      <w:pPr>
        <w:pStyle w:val="ListItem"/>
        <w:numPr>
          <w:ilvl w:val="0"/>
          <w:numId w:val="46"/>
        </w:numPr>
        <w:ind w:left="357" w:hanging="357"/>
      </w:pPr>
      <w:r w:rsidRPr="00663904">
        <w:t>the opportunities to use savings to create wealth</w:t>
      </w:r>
      <w:r w:rsidR="00346E25">
        <w:t>,</w:t>
      </w:r>
      <w:r w:rsidRPr="00663904">
        <w:t xml:space="preserve"> including:</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term deposits</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shares</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property</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voluntary superannuation</w:t>
      </w:r>
    </w:p>
    <w:p w:rsidR="00663904" w:rsidRPr="00663904" w:rsidRDefault="00663904" w:rsidP="00ED669D">
      <w:pPr>
        <w:pStyle w:val="ListItem"/>
        <w:numPr>
          <w:ilvl w:val="0"/>
          <w:numId w:val="46"/>
        </w:numPr>
        <w:ind w:left="357" w:hanging="357"/>
      </w:pPr>
      <w:r w:rsidRPr="00663904">
        <w:t>risk/return trade-offs associated wit</w:t>
      </w:r>
      <w:r w:rsidR="008B7F1D">
        <w:t>h wealth creation opportunities</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 xml:space="preserve">the </w:t>
      </w:r>
      <w:r w:rsidR="00445F2C">
        <w:rPr>
          <w:rFonts w:eastAsia="MS Mincho" w:cs="Calibri"/>
        </w:rPr>
        <w:t>concept</w:t>
      </w:r>
      <w:r w:rsidRPr="00663904">
        <w:rPr>
          <w:rFonts w:eastAsia="MS Mincho" w:cs="Calibri"/>
        </w:rPr>
        <w:t xml:space="preserve"> of risk and return</w:t>
      </w:r>
    </w:p>
    <w:p w:rsidR="00663904" w:rsidRPr="00663904" w:rsidRDefault="00663904" w:rsidP="00216D89">
      <w:pPr>
        <w:numPr>
          <w:ilvl w:val="0"/>
          <w:numId w:val="27"/>
        </w:numPr>
        <w:tabs>
          <w:tab w:val="num" w:pos="709"/>
        </w:tabs>
        <w:spacing w:after="0" w:line="276" w:lineRule="auto"/>
        <w:ind w:left="709" w:hanging="284"/>
        <w:contextualSpacing/>
        <w:rPr>
          <w:rFonts w:eastAsia="MS Mincho" w:cs="Calibri"/>
        </w:rPr>
      </w:pPr>
      <w:r w:rsidRPr="00663904">
        <w:rPr>
          <w:rFonts w:eastAsia="MS Mincho" w:cs="Calibri"/>
        </w:rPr>
        <w:t>the comparison between risk and return in various asset classes such as cash, fixed interest, shares and property</w:t>
      </w:r>
    </w:p>
    <w:p w:rsidR="004227C0" w:rsidRPr="00663904" w:rsidRDefault="004227C0" w:rsidP="00ED669D">
      <w:pPr>
        <w:pStyle w:val="ListItem"/>
        <w:numPr>
          <w:ilvl w:val="0"/>
          <w:numId w:val="46"/>
        </w:numPr>
        <w:ind w:left="357" w:hanging="357"/>
      </w:pPr>
      <w:r>
        <w:t>application of the ‘financial pyramid’ in relation to personal investment strategies</w:t>
      </w:r>
    </w:p>
    <w:p w:rsidR="004227C0" w:rsidRPr="004227C0" w:rsidRDefault="004227C0"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income protection</w:t>
      </w:r>
    </w:p>
    <w:p w:rsidR="004227C0" w:rsidRPr="00663904" w:rsidRDefault="004227C0"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growth</w:t>
      </w:r>
    </w:p>
    <w:p w:rsidR="004227C0" w:rsidRPr="00663904" w:rsidRDefault="004227C0"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speculation</w:t>
      </w:r>
    </w:p>
    <w:p w:rsidR="00445F2C" w:rsidRDefault="00445F2C" w:rsidP="00ED669D">
      <w:pPr>
        <w:pStyle w:val="ListItem"/>
        <w:numPr>
          <w:ilvl w:val="0"/>
          <w:numId w:val="46"/>
        </w:numPr>
        <w:ind w:left="357" w:hanging="357"/>
      </w:pPr>
      <w:r>
        <w:t>the concept of diversification in an economics context</w:t>
      </w:r>
    </w:p>
    <w:p w:rsidR="004227C0" w:rsidRDefault="004227C0" w:rsidP="00ED669D">
      <w:pPr>
        <w:pStyle w:val="ListItem"/>
        <w:numPr>
          <w:ilvl w:val="0"/>
          <w:numId w:val="46"/>
        </w:numPr>
        <w:ind w:left="357" w:hanging="357"/>
      </w:pPr>
      <w:r>
        <w:t>the benefit of a diversified personal investment portfolio</w:t>
      </w:r>
    </w:p>
    <w:p w:rsidR="00663904" w:rsidRPr="00663904" w:rsidRDefault="00663904" w:rsidP="00ED669D">
      <w:pPr>
        <w:pStyle w:val="ListItem"/>
        <w:numPr>
          <w:ilvl w:val="0"/>
          <w:numId w:val="46"/>
        </w:numPr>
        <w:ind w:left="357" w:hanging="357"/>
      </w:pPr>
      <w:r w:rsidRPr="00663904">
        <w:t xml:space="preserve">demonstrate and compare the benefits of different </w:t>
      </w:r>
      <w:r w:rsidR="00B71374">
        <w:t>investment portfolios over time</w:t>
      </w:r>
    </w:p>
    <w:p w:rsidR="006B2D87" w:rsidRPr="006B2D87" w:rsidRDefault="006B2D87" w:rsidP="00216D89">
      <w:pPr>
        <w:pStyle w:val="Heading5"/>
      </w:pPr>
      <w:r w:rsidRPr="006B2D87">
        <w:t>Influence of government on personal economic and financial decisions</w:t>
      </w:r>
    </w:p>
    <w:p w:rsidR="006B2D87" w:rsidRDefault="006B2D87" w:rsidP="00216D89">
      <w:pPr>
        <w:pStyle w:val="Paragraph"/>
      </w:pPr>
      <w:r>
        <w:t>Government can influence personal consumer and financial decisions in a number of ways. It redistributes income to enable all people to achieve a minimum standard of living, establishes laws and regulations for consumer protection</w:t>
      </w:r>
      <w:r w:rsidR="00784B46">
        <w:t>,</w:t>
      </w:r>
      <w:r>
        <w:t xml:space="preserve"> and provides incentives that encourage individuals to act in an informed manner and to provide for themselves over the course of </w:t>
      </w:r>
      <w:r w:rsidR="0029707C">
        <w:t xml:space="preserve">their </w:t>
      </w:r>
      <w:r>
        <w:t xml:space="preserve">life. The focus of this section is </w:t>
      </w:r>
      <w:r w:rsidR="00A33388">
        <w:t xml:space="preserve">on </w:t>
      </w:r>
      <w:r>
        <w:t>government taxation and spending.</w:t>
      </w:r>
    </w:p>
    <w:p w:rsidR="006B2D87" w:rsidRPr="006B2D87" w:rsidRDefault="006B2D87" w:rsidP="003219A5">
      <w:pPr>
        <w:pStyle w:val="ListItem"/>
        <w:numPr>
          <w:ilvl w:val="0"/>
          <w:numId w:val="46"/>
        </w:numPr>
        <w:ind w:left="357" w:hanging="357"/>
      </w:pPr>
      <w:r w:rsidRPr="006B2D87">
        <w:t>the concept of income redistribution</w:t>
      </w:r>
    </w:p>
    <w:p w:rsidR="006B2D87" w:rsidRPr="006B2D87" w:rsidRDefault="006B2D87" w:rsidP="003219A5">
      <w:pPr>
        <w:pStyle w:val="ListItem"/>
        <w:numPr>
          <w:ilvl w:val="0"/>
          <w:numId w:val="46"/>
        </w:numPr>
        <w:ind w:left="357" w:hanging="357"/>
      </w:pPr>
      <w:r w:rsidRPr="006B2D87">
        <w:t>taxes on:</w:t>
      </w:r>
    </w:p>
    <w:p w:rsidR="006B2D87" w:rsidRPr="006B2D87" w:rsidRDefault="006B2D87" w:rsidP="00216D89">
      <w:pPr>
        <w:numPr>
          <w:ilvl w:val="0"/>
          <w:numId w:val="27"/>
        </w:numPr>
        <w:tabs>
          <w:tab w:val="num" w:pos="709"/>
        </w:tabs>
        <w:spacing w:after="0" w:line="276" w:lineRule="auto"/>
        <w:ind w:left="709" w:hanging="284"/>
        <w:contextualSpacing/>
        <w:rPr>
          <w:rFonts w:eastAsia="MS Mincho" w:cs="Calibri"/>
        </w:rPr>
      </w:pPr>
      <w:r w:rsidRPr="006B2D87">
        <w:rPr>
          <w:rFonts w:eastAsia="MS Mincho" w:cs="Calibri"/>
        </w:rPr>
        <w:t>income</w:t>
      </w:r>
      <w:r w:rsidR="00784B46">
        <w:rPr>
          <w:rFonts w:eastAsia="MS Mincho" w:cs="Calibri"/>
        </w:rPr>
        <w:t>,</w:t>
      </w:r>
      <w:r w:rsidRPr="006B2D87">
        <w:rPr>
          <w:rFonts w:eastAsia="MS Mincho" w:cs="Calibri"/>
        </w:rPr>
        <w:t xml:space="preserve"> including Pay As You Go (PAYG) personal income tax and </w:t>
      </w:r>
      <w:r w:rsidR="00346E25">
        <w:rPr>
          <w:rFonts w:eastAsia="MS Mincho" w:cs="Calibri"/>
        </w:rPr>
        <w:t>f</w:t>
      </w:r>
      <w:r w:rsidRPr="006B2D87">
        <w:rPr>
          <w:rFonts w:eastAsia="MS Mincho" w:cs="Calibri"/>
        </w:rPr>
        <w:t xml:space="preserve">ringe </w:t>
      </w:r>
      <w:r w:rsidR="00346E25">
        <w:rPr>
          <w:rFonts w:eastAsia="MS Mincho" w:cs="Calibri"/>
        </w:rPr>
        <w:t>b</w:t>
      </w:r>
      <w:r w:rsidRPr="006B2D87">
        <w:rPr>
          <w:rFonts w:eastAsia="MS Mincho" w:cs="Calibri"/>
        </w:rPr>
        <w:t xml:space="preserve">enefits </w:t>
      </w:r>
      <w:r w:rsidR="00346E25">
        <w:rPr>
          <w:rFonts w:eastAsia="MS Mincho" w:cs="Calibri"/>
        </w:rPr>
        <w:t>t</w:t>
      </w:r>
      <w:r w:rsidRPr="006B2D87">
        <w:rPr>
          <w:rFonts w:eastAsia="MS Mincho" w:cs="Calibri"/>
        </w:rPr>
        <w:t>ax</w:t>
      </w:r>
    </w:p>
    <w:p w:rsidR="006B2D87" w:rsidRPr="006B2D87" w:rsidRDefault="006B2D87" w:rsidP="00216D89">
      <w:pPr>
        <w:numPr>
          <w:ilvl w:val="0"/>
          <w:numId w:val="27"/>
        </w:numPr>
        <w:tabs>
          <w:tab w:val="num" w:pos="709"/>
        </w:tabs>
        <w:spacing w:after="0" w:line="276" w:lineRule="auto"/>
        <w:ind w:left="709" w:hanging="284"/>
        <w:contextualSpacing/>
        <w:rPr>
          <w:rFonts w:eastAsia="MS Mincho" w:cs="Calibri"/>
        </w:rPr>
      </w:pPr>
      <w:r w:rsidRPr="006B2D87">
        <w:rPr>
          <w:rFonts w:eastAsia="MS Mincho" w:cs="Calibri"/>
        </w:rPr>
        <w:t>consumption</w:t>
      </w:r>
      <w:r w:rsidR="00784B46">
        <w:rPr>
          <w:rFonts w:eastAsia="MS Mincho" w:cs="Calibri"/>
        </w:rPr>
        <w:t>,</w:t>
      </w:r>
      <w:r w:rsidRPr="006B2D87">
        <w:rPr>
          <w:rFonts w:eastAsia="MS Mincho" w:cs="Calibri"/>
        </w:rPr>
        <w:t xml:space="preserve"> including the Goods and Services Tax (GST) and </w:t>
      </w:r>
      <w:r w:rsidR="00346E25">
        <w:rPr>
          <w:rFonts w:eastAsia="MS Mincho" w:cs="Calibri"/>
        </w:rPr>
        <w:t>e</w:t>
      </w:r>
      <w:r w:rsidRPr="006B2D87">
        <w:rPr>
          <w:rFonts w:eastAsia="MS Mincho" w:cs="Calibri"/>
        </w:rPr>
        <w:t xml:space="preserve">xcise </w:t>
      </w:r>
      <w:r w:rsidR="00346E25">
        <w:rPr>
          <w:rFonts w:eastAsia="MS Mincho" w:cs="Calibri"/>
        </w:rPr>
        <w:t>t</w:t>
      </w:r>
      <w:r w:rsidRPr="006B2D87">
        <w:rPr>
          <w:rFonts w:eastAsia="MS Mincho" w:cs="Calibri"/>
        </w:rPr>
        <w:t>ax</w:t>
      </w:r>
    </w:p>
    <w:p w:rsidR="006B2D87" w:rsidRPr="006B2D87" w:rsidRDefault="006B2D87" w:rsidP="00216D89">
      <w:pPr>
        <w:numPr>
          <w:ilvl w:val="0"/>
          <w:numId w:val="27"/>
        </w:numPr>
        <w:tabs>
          <w:tab w:val="num" w:pos="709"/>
        </w:tabs>
        <w:spacing w:after="0" w:line="276" w:lineRule="auto"/>
        <w:ind w:left="709" w:hanging="284"/>
        <w:contextualSpacing/>
        <w:rPr>
          <w:rFonts w:eastAsia="MS Mincho" w:cs="Calibri"/>
        </w:rPr>
      </w:pPr>
      <w:r w:rsidRPr="006B2D87">
        <w:rPr>
          <w:rFonts w:eastAsia="MS Mincho" w:cs="Calibri"/>
        </w:rPr>
        <w:t>wealth</w:t>
      </w:r>
      <w:r w:rsidR="00784B46">
        <w:rPr>
          <w:rFonts w:eastAsia="MS Mincho" w:cs="Calibri"/>
        </w:rPr>
        <w:t>,</w:t>
      </w:r>
      <w:r w:rsidRPr="006B2D87">
        <w:rPr>
          <w:rFonts w:eastAsia="MS Mincho" w:cs="Calibri"/>
        </w:rPr>
        <w:t xml:space="preserve"> including the </w:t>
      </w:r>
      <w:r w:rsidR="00346E25">
        <w:rPr>
          <w:rFonts w:eastAsia="MS Mincho" w:cs="Calibri"/>
        </w:rPr>
        <w:t>c</w:t>
      </w:r>
      <w:r w:rsidRPr="006B2D87">
        <w:rPr>
          <w:rFonts w:eastAsia="MS Mincho" w:cs="Calibri"/>
        </w:rPr>
        <w:t xml:space="preserve">apital </w:t>
      </w:r>
      <w:r w:rsidR="00346E25">
        <w:rPr>
          <w:rFonts w:eastAsia="MS Mincho" w:cs="Calibri"/>
        </w:rPr>
        <w:t>g</w:t>
      </w:r>
      <w:r w:rsidRPr="006B2D87">
        <w:rPr>
          <w:rFonts w:eastAsia="MS Mincho" w:cs="Calibri"/>
        </w:rPr>
        <w:t xml:space="preserve">ains </w:t>
      </w:r>
      <w:r w:rsidR="00346E25">
        <w:rPr>
          <w:rFonts w:eastAsia="MS Mincho" w:cs="Calibri"/>
        </w:rPr>
        <w:t>t</w:t>
      </w:r>
      <w:r w:rsidRPr="006B2D87">
        <w:rPr>
          <w:rFonts w:eastAsia="MS Mincho" w:cs="Calibri"/>
        </w:rPr>
        <w:t>ax</w:t>
      </w:r>
    </w:p>
    <w:p w:rsidR="006B2D87" w:rsidRPr="006B2D87" w:rsidRDefault="006B2D87" w:rsidP="003219A5">
      <w:pPr>
        <w:pStyle w:val="ListItem"/>
        <w:numPr>
          <w:ilvl w:val="0"/>
          <w:numId w:val="46"/>
        </w:numPr>
        <w:ind w:left="357" w:hanging="357"/>
      </w:pPr>
      <w:r w:rsidRPr="006B2D87">
        <w:lastRenderedPageBreak/>
        <w:t xml:space="preserve">direct and indirect social welfare payments provided by the Commonwealth Government though </w:t>
      </w:r>
      <w:proofErr w:type="spellStart"/>
      <w:r w:rsidRPr="006B2D87">
        <w:t>Centrelink</w:t>
      </w:r>
      <w:proofErr w:type="spellEnd"/>
      <w:r w:rsidR="00346E25">
        <w:t>,</w:t>
      </w:r>
      <w:r w:rsidRPr="006B2D87">
        <w:t xml:space="preserve"> including:</w:t>
      </w:r>
    </w:p>
    <w:p w:rsidR="006B2D87" w:rsidRPr="006B2D87" w:rsidRDefault="00B31B43"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p</w:t>
      </w:r>
      <w:r w:rsidR="006B2D87" w:rsidRPr="006B2D87">
        <w:rPr>
          <w:rFonts w:eastAsia="MS Mincho" w:cs="Calibri"/>
        </w:rPr>
        <w:t>ensions</w:t>
      </w:r>
      <w:r w:rsidR="00784B46">
        <w:rPr>
          <w:rFonts w:eastAsia="MS Mincho" w:cs="Calibri"/>
        </w:rPr>
        <w:t>,</w:t>
      </w:r>
      <w:r w:rsidR="006B2D87" w:rsidRPr="006B2D87">
        <w:rPr>
          <w:rFonts w:eastAsia="MS Mincho" w:cs="Calibri"/>
        </w:rPr>
        <w:t xml:space="preserve"> such as </w:t>
      </w:r>
      <w:r>
        <w:rPr>
          <w:rFonts w:eastAsia="MS Mincho" w:cs="Calibri"/>
        </w:rPr>
        <w:t xml:space="preserve">the </w:t>
      </w:r>
      <w:r w:rsidR="006B2D87" w:rsidRPr="006B2D87">
        <w:rPr>
          <w:rFonts w:eastAsia="MS Mincho" w:cs="Calibri"/>
        </w:rPr>
        <w:t>Age Pensions and Disability Support Pension</w:t>
      </w:r>
    </w:p>
    <w:p w:rsidR="006B2D87" w:rsidRPr="006B2D87" w:rsidRDefault="00B31B43"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b</w:t>
      </w:r>
      <w:r w:rsidR="006B2D87" w:rsidRPr="006B2D87">
        <w:rPr>
          <w:rFonts w:eastAsia="MS Mincho" w:cs="Calibri"/>
        </w:rPr>
        <w:t>enefits</w:t>
      </w:r>
      <w:r w:rsidR="00784B46">
        <w:rPr>
          <w:rFonts w:eastAsia="MS Mincho" w:cs="Calibri"/>
        </w:rPr>
        <w:t>,</w:t>
      </w:r>
      <w:r w:rsidR="006B2D87" w:rsidRPr="006B2D87">
        <w:rPr>
          <w:rFonts w:eastAsia="MS Mincho" w:cs="Calibri"/>
        </w:rPr>
        <w:t xml:space="preserve"> such as the Child Care Benefit</w:t>
      </w:r>
    </w:p>
    <w:p w:rsidR="006B2D87" w:rsidRPr="006B2D87" w:rsidRDefault="00B31B43"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a</w:t>
      </w:r>
      <w:r w:rsidR="006B2D87" w:rsidRPr="006B2D87">
        <w:rPr>
          <w:rFonts w:eastAsia="MS Mincho" w:cs="Calibri"/>
        </w:rPr>
        <w:t>llowances</w:t>
      </w:r>
      <w:r w:rsidR="00784B46">
        <w:rPr>
          <w:rFonts w:eastAsia="MS Mincho" w:cs="Calibri"/>
        </w:rPr>
        <w:t>,</w:t>
      </w:r>
      <w:r w:rsidR="006B2D87" w:rsidRPr="006B2D87">
        <w:rPr>
          <w:rFonts w:eastAsia="MS Mincho" w:cs="Calibri"/>
        </w:rPr>
        <w:t xml:space="preserve"> such as Youth Allowance and </w:t>
      </w:r>
      <w:proofErr w:type="spellStart"/>
      <w:r w:rsidR="006B2D87" w:rsidRPr="006B2D87">
        <w:rPr>
          <w:rFonts w:eastAsia="MS Mincho" w:cs="Calibri"/>
        </w:rPr>
        <w:t>Newstart</w:t>
      </w:r>
      <w:proofErr w:type="spellEnd"/>
      <w:r w:rsidR="006B2D87" w:rsidRPr="006B2D87">
        <w:rPr>
          <w:rFonts w:eastAsia="MS Mincho" w:cs="Calibri"/>
        </w:rPr>
        <w:t xml:space="preserve"> Allowance</w:t>
      </w:r>
    </w:p>
    <w:p w:rsidR="006B2D87" w:rsidRPr="006B2D87" w:rsidRDefault="00B31B43"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i</w:t>
      </w:r>
      <w:r w:rsidR="006B2D87" w:rsidRPr="006B2D87">
        <w:rPr>
          <w:rFonts w:eastAsia="MS Mincho" w:cs="Calibri"/>
        </w:rPr>
        <w:t>ndirect payments to support merit goods</w:t>
      </w:r>
      <w:r w:rsidR="00784B46">
        <w:rPr>
          <w:rFonts w:eastAsia="MS Mincho" w:cs="Calibri"/>
        </w:rPr>
        <w:t>,</w:t>
      </w:r>
      <w:r w:rsidR="006B2D87" w:rsidRPr="006B2D87">
        <w:rPr>
          <w:rFonts w:eastAsia="MS Mincho" w:cs="Calibri"/>
        </w:rPr>
        <w:t xml:space="preserve"> such as subsidised education and health costs</w:t>
      </w:r>
    </w:p>
    <w:p w:rsidR="006B2D87" w:rsidRPr="003219A5" w:rsidRDefault="006B2D87" w:rsidP="003219A5">
      <w:pPr>
        <w:pStyle w:val="ListItem"/>
        <w:numPr>
          <w:ilvl w:val="0"/>
          <w:numId w:val="46"/>
        </w:numPr>
        <w:ind w:left="357" w:hanging="357"/>
      </w:pPr>
      <w:r w:rsidRPr="006B2D87">
        <w:t>Commonwealth Government regulations and incentives</w:t>
      </w:r>
      <w:r w:rsidR="00346E25">
        <w:t>,</w:t>
      </w:r>
      <w:r w:rsidRPr="006B2D87">
        <w:t xml:space="preserve"> including</w:t>
      </w:r>
      <w:r w:rsidRPr="003219A5">
        <w:t>:</w:t>
      </w:r>
    </w:p>
    <w:p w:rsidR="006B2D87" w:rsidRPr="006B2D87" w:rsidRDefault="006B2D87" w:rsidP="00216D89">
      <w:pPr>
        <w:numPr>
          <w:ilvl w:val="0"/>
          <w:numId w:val="27"/>
        </w:numPr>
        <w:tabs>
          <w:tab w:val="num" w:pos="709"/>
        </w:tabs>
        <w:spacing w:after="0" w:line="276" w:lineRule="auto"/>
        <w:ind w:left="709" w:hanging="284"/>
        <w:contextualSpacing/>
        <w:rPr>
          <w:rFonts w:eastAsia="MS Mincho" w:cs="Calibri"/>
        </w:rPr>
      </w:pPr>
      <w:r w:rsidRPr="006B2D87">
        <w:rPr>
          <w:rFonts w:eastAsia="MS Mincho" w:cs="Calibri"/>
        </w:rPr>
        <w:t>compulsory superannuation</w:t>
      </w:r>
    </w:p>
    <w:p w:rsidR="006B2D87" w:rsidRPr="006B2D87" w:rsidRDefault="006B2D87" w:rsidP="00216D89">
      <w:pPr>
        <w:numPr>
          <w:ilvl w:val="0"/>
          <w:numId w:val="27"/>
        </w:numPr>
        <w:tabs>
          <w:tab w:val="num" w:pos="709"/>
        </w:tabs>
        <w:spacing w:after="0" w:line="276" w:lineRule="auto"/>
        <w:ind w:left="709" w:hanging="284"/>
        <w:contextualSpacing/>
        <w:rPr>
          <w:rFonts w:eastAsia="MS Mincho" w:cs="Calibri"/>
        </w:rPr>
      </w:pPr>
      <w:r w:rsidRPr="006B2D87">
        <w:rPr>
          <w:rFonts w:eastAsia="MS Mincho" w:cs="Calibri"/>
        </w:rPr>
        <w:t>taxation concessions</w:t>
      </w:r>
      <w:r w:rsidR="00784B46">
        <w:rPr>
          <w:rFonts w:eastAsia="MS Mincho" w:cs="Calibri"/>
        </w:rPr>
        <w:t>,</w:t>
      </w:r>
      <w:r w:rsidRPr="006B2D87">
        <w:rPr>
          <w:rFonts w:eastAsia="MS Mincho" w:cs="Calibri"/>
        </w:rPr>
        <w:t xml:space="preserve"> such as voluntary superannuation, private health insurance rebates, income protection deductions</w:t>
      </w:r>
    </w:p>
    <w:p w:rsidR="006B2D87" w:rsidRPr="006B2D87" w:rsidRDefault="006B2D87" w:rsidP="00216D89">
      <w:pPr>
        <w:pStyle w:val="Heading3"/>
        <w:spacing w:before="180" w:line="276" w:lineRule="auto"/>
      </w:pPr>
      <w:r w:rsidRPr="006B2D87">
        <w:t>Economic skills</w:t>
      </w:r>
    </w:p>
    <w:p w:rsidR="006B2D87" w:rsidRPr="006B2D87" w:rsidRDefault="006B2D87" w:rsidP="00216D89">
      <w:pPr>
        <w:pStyle w:val="Heading5"/>
        <w:spacing w:after="80"/>
      </w:pPr>
      <w:bookmarkStart w:id="28" w:name="_Toc347908227"/>
      <w:r w:rsidRPr="006B2D87">
        <w:t>Economic research</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identify research questions to investigate</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select appropriate print and electronic media sources of economic information and data to inform personal economic and financial decisions</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apply appropriate methods of recording and organising personal economic or financial information</w:t>
      </w:r>
      <w:r w:rsidR="00784B46" w:rsidRPr="0070611F">
        <w:rPr>
          <w:rFonts w:cs="Arial"/>
          <w:iCs/>
          <w:lang w:val="en-AU"/>
        </w:rPr>
        <w:t>,</w:t>
      </w:r>
      <w:r w:rsidRPr="0070611F">
        <w:rPr>
          <w:rFonts w:cs="Arial"/>
          <w:iCs/>
          <w:lang w:val="en-AU"/>
        </w:rPr>
        <w:t xml:space="preserve"> such as tables, charts, graphs</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 xml:space="preserve">apply problem-solving, critical thinking and decision-making strategies to achieve outcomes </w:t>
      </w:r>
      <w:r w:rsidR="00784B46" w:rsidRPr="0070611F">
        <w:rPr>
          <w:rFonts w:cs="Arial"/>
          <w:iCs/>
          <w:lang w:val="en-AU"/>
        </w:rPr>
        <w:t>that</w:t>
      </w:r>
      <w:r w:rsidRPr="0070611F">
        <w:rPr>
          <w:rFonts w:cs="Arial"/>
          <w:iCs/>
          <w:lang w:val="en-AU"/>
        </w:rPr>
        <w:t xml:space="preserve"> may be predictable and contestable by nature</w:t>
      </w:r>
    </w:p>
    <w:p w:rsidR="006B2D87" w:rsidRPr="006B2D87" w:rsidRDefault="006B2D87" w:rsidP="00216D89">
      <w:pPr>
        <w:pStyle w:val="Heading5"/>
        <w:spacing w:after="80"/>
      </w:pPr>
      <w:r w:rsidRPr="006B2D87">
        <w:t>Reasoning, interpretation and analysis</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 xml:space="preserve">identify and organise relevant information within sources </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identify trends and relationships in economic or financial information and data</w:t>
      </w:r>
      <w:r w:rsidR="00784B46" w:rsidRPr="0070611F">
        <w:rPr>
          <w:rFonts w:cs="Arial"/>
          <w:iCs/>
          <w:lang w:val="en-AU"/>
        </w:rPr>
        <w:t>,</w:t>
      </w:r>
      <w:r w:rsidRPr="0070611F">
        <w:rPr>
          <w:rFonts w:cs="Arial"/>
          <w:iCs/>
          <w:lang w:val="en-AU"/>
        </w:rPr>
        <w:t xml:space="preserve"> such as comparative investment returns from different portfolios</w:t>
      </w:r>
      <w:r w:rsidR="00784B46" w:rsidRPr="0070611F">
        <w:rPr>
          <w:rFonts w:cs="Arial"/>
          <w:iCs/>
          <w:lang w:val="en-AU"/>
        </w:rPr>
        <w:t xml:space="preserve"> and</w:t>
      </w:r>
      <w:r w:rsidRPr="0070611F">
        <w:rPr>
          <w:rFonts w:cs="Arial"/>
          <w:iCs/>
          <w:lang w:val="en-AU"/>
        </w:rPr>
        <w:t xml:space="preserve"> income distribution</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 xml:space="preserve">use economic information and data to make </w:t>
      </w:r>
      <w:r w:rsidR="00B362C4">
        <w:t>predictions</w:t>
      </w:r>
      <w:r w:rsidR="00784B46" w:rsidRPr="0070611F">
        <w:rPr>
          <w:rFonts w:cs="Arial"/>
          <w:iCs/>
          <w:lang w:val="en-AU"/>
        </w:rPr>
        <w:t>,</w:t>
      </w:r>
      <w:r w:rsidRPr="0070611F">
        <w:rPr>
          <w:rFonts w:cs="Arial"/>
          <w:iCs/>
          <w:lang w:val="en-AU"/>
        </w:rPr>
        <w:t xml:space="preserve"> such as i</w:t>
      </w:r>
      <w:r w:rsidR="00346E25" w:rsidRPr="0070611F">
        <w:rPr>
          <w:rFonts w:cs="Arial"/>
          <w:iCs/>
          <w:lang w:val="en-AU"/>
        </w:rPr>
        <w:t xml:space="preserve">n relation to future financial </w:t>
      </w:r>
      <w:r w:rsidRPr="0070611F">
        <w:rPr>
          <w:rFonts w:cs="Arial"/>
          <w:iCs/>
          <w:lang w:val="en-AU"/>
        </w:rPr>
        <w:t>needs</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apply mathematical techniques relevant to personal economic and financial decisions</w:t>
      </w:r>
      <w:r w:rsidR="00784B46" w:rsidRPr="0070611F">
        <w:rPr>
          <w:rFonts w:cs="Arial"/>
          <w:iCs/>
          <w:lang w:val="en-AU"/>
        </w:rPr>
        <w:t>,</w:t>
      </w:r>
      <w:r w:rsidRPr="0070611F">
        <w:rPr>
          <w:rFonts w:cs="Arial"/>
          <w:iCs/>
          <w:lang w:val="en-AU"/>
        </w:rPr>
        <w:t xml:space="preserve"> such as </w:t>
      </w:r>
      <w:r w:rsidR="00C61FE9" w:rsidRPr="0070611F">
        <w:rPr>
          <w:rFonts w:cs="Arial"/>
          <w:iCs/>
          <w:lang w:val="en-AU"/>
        </w:rPr>
        <w:t xml:space="preserve">simple and </w:t>
      </w:r>
      <w:r w:rsidRPr="0070611F">
        <w:rPr>
          <w:rFonts w:cs="Arial"/>
          <w:iCs/>
          <w:lang w:val="en-AU"/>
        </w:rPr>
        <w:t>compound interest, the future value of money</w:t>
      </w:r>
      <w:bookmarkStart w:id="29" w:name="_GoBack"/>
      <w:bookmarkEnd w:id="29"/>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use economics models such as risk/return relationships, the Lorenz curve</w:t>
      </w:r>
      <w:r w:rsidR="00784B46" w:rsidRPr="0070611F">
        <w:rPr>
          <w:rFonts w:cs="Arial"/>
          <w:iCs/>
          <w:lang w:val="en-AU"/>
        </w:rPr>
        <w:t xml:space="preserve"> and</w:t>
      </w:r>
      <w:r w:rsidRPr="0070611F">
        <w:rPr>
          <w:rFonts w:cs="Arial"/>
          <w:iCs/>
          <w:lang w:val="en-AU"/>
        </w:rPr>
        <w:t xml:space="preserve"> the personal investment pyramid</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apply economic reasoning to inform personal economic and financial decisions</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use evidence found in economic information and data to justify a conclusion</w:t>
      </w:r>
    </w:p>
    <w:p w:rsidR="006B2D87" w:rsidRPr="006B2D87" w:rsidRDefault="006B2D87" w:rsidP="00216D89">
      <w:pPr>
        <w:pStyle w:val="Paragraph"/>
        <w:spacing w:after="80"/>
        <w:rPr>
          <w:b/>
        </w:rPr>
      </w:pPr>
      <w:r w:rsidRPr="006B2D87">
        <w:rPr>
          <w:b/>
        </w:rPr>
        <w:t>Communication</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select and use appropriate terminology</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select and use appropriate formats when communicating economic understandings</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use economic models to convey economic theory and reasoning about personal economic and financial decisions</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prepare and present information that describes and explains concepts and reasoning relevant to personal economic and financial decisions</w:t>
      </w:r>
    </w:p>
    <w:p w:rsidR="006B2D87" w:rsidRPr="0070611F" w:rsidRDefault="006B2D87" w:rsidP="0070611F">
      <w:pPr>
        <w:pStyle w:val="ListItem"/>
        <w:numPr>
          <w:ilvl w:val="0"/>
          <w:numId w:val="22"/>
        </w:numPr>
        <w:spacing w:before="60" w:after="60"/>
        <w:ind w:left="357" w:hanging="357"/>
        <w:rPr>
          <w:rFonts w:cs="Arial"/>
          <w:iCs/>
          <w:lang w:val="en-AU"/>
        </w:rPr>
      </w:pPr>
      <w:r w:rsidRPr="0070611F">
        <w:rPr>
          <w:rFonts w:cs="Arial"/>
          <w:iCs/>
          <w:lang w:val="en-AU"/>
        </w:rPr>
        <w:t>reflect on the investigation process used</w:t>
      </w:r>
    </w:p>
    <w:p w:rsidR="00540775" w:rsidRPr="00042703" w:rsidRDefault="00540775" w:rsidP="00216D89">
      <w:pPr>
        <w:pStyle w:val="Heading1"/>
        <w:spacing w:line="276" w:lineRule="auto"/>
      </w:pPr>
      <w:bookmarkStart w:id="30" w:name="_Toc381793604"/>
      <w:r w:rsidRPr="00042703">
        <w:lastRenderedPageBreak/>
        <w:t>Unit 2</w:t>
      </w:r>
      <w:r w:rsidR="008669DF" w:rsidRPr="00042703">
        <w:t xml:space="preserve"> </w:t>
      </w:r>
      <w:r w:rsidR="00116223" w:rsidRPr="00042703">
        <w:t>–</w:t>
      </w:r>
      <w:r w:rsidR="006A0088" w:rsidRPr="00042703">
        <w:t xml:space="preserve"> </w:t>
      </w:r>
      <w:r w:rsidR="00D604C7" w:rsidRPr="00D604C7">
        <w:t>Small business economics</w:t>
      </w:r>
      <w:bookmarkEnd w:id="30"/>
    </w:p>
    <w:p w:rsidR="00167B95" w:rsidRPr="00042703" w:rsidRDefault="00167B95" w:rsidP="00216D89">
      <w:pPr>
        <w:pStyle w:val="Heading2"/>
        <w:spacing w:line="276" w:lineRule="auto"/>
      </w:pPr>
      <w:bookmarkStart w:id="31" w:name="_Toc359503804"/>
      <w:bookmarkStart w:id="32" w:name="_Toc381793605"/>
      <w:r w:rsidRPr="00042703">
        <w:t>Unit description</w:t>
      </w:r>
      <w:bookmarkEnd w:id="31"/>
      <w:bookmarkEnd w:id="32"/>
    </w:p>
    <w:p w:rsidR="00D604C7" w:rsidRPr="00D604C7" w:rsidRDefault="00D604C7" w:rsidP="00216D89">
      <w:pPr>
        <w:pStyle w:val="Paragraph"/>
      </w:pPr>
      <w:bookmarkStart w:id="33" w:name="_Toc359503805"/>
      <w:r w:rsidRPr="00D604C7">
        <w:t xml:space="preserve">This unit explores </w:t>
      </w:r>
      <w:r w:rsidRPr="00D604C7">
        <w:rPr>
          <w:bCs/>
        </w:rPr>
        <w:t>small business economic decisions in relation to the</w:t>
      </w:r>
      <w:r w:rsidRPr="00D604C7">
        <w:t xml:space="preserve"> problem of relative scarcity and choice. It explores the importance of business in the economy; the way in which businesses combine resources to produce goods and services; and the strategies that businesses use to promote their products and manage internal and external constraints, including government regulation and policy.</w:t>
      </w:r>
    </w:p>
    <w:p w:rsidR="00167B95" w:rsidRPr="00042703" w:rsidRDefault="00167B95" w:rsidP="00216D89">
      <w:pPr>
        <w:pStyle w:val="Heading2"/>
        <w:spacing w:line="276" w:lineRule="auto"/>
      </w:pPr>
      <w:bookmarkStart w:id="34" w:name="_Toc359503807"/>
      <w:bookmarkStart w:id="35" w:name="_Toc381793606"/>
      <w:bookmarkEnd w:id="33"/>
      <w:r w:rsidRPr="00042703">
        <w:t>Unit content</w:t>
      </w:r>
      <w:bookmarkEnd w:id="34"/>
      <w:bookmarkEnd w:id="35"/>
    </w:p>
    <w:p w:rsidR="00167B95" w:rsidRPr="00042703" w:rsidRDefault="00167B95" w:rsidP="00216D89">
      <w:pPr>
        <w:spacing w:after="200" w:line="276" w:lineRule="auto"/>
      </w:pPr>
      <w:r w:rsidRPr="00042703">
        <w:t>This unit includes the knowledge, understandings and skills described below.</w:t>
      </w:r>
    </w:p>
    <w:p w:rsidR="00D604C7" w:rsidRPr="00D604C7" w:rsidRDefault="00D604C7" w:rsidP="00216D89">
      <w:pPr>
        <w:pStyle w:val="Heading3"/>
        <w:spacing w:line="276" w:lineRule="auto"/>
      </w:pPr>
      <w:r w:rsidRPr="00D604C7">
        <w:t>Economic knowledge and understanding</w:t>
      </w:r>
    </w:p>
    <w:p w:rsidR="00D604C7" w:rsidRPr="00D604C7" w:rsidRDefault="00D604C7" w:rsidP="00216D89">
      <w:pPr>
        <w:pStyle w:val="Heading5"/>
      </w:pPr>
      <w:r w:rsidRPr="00D604C7">
        <w:t>Small and medium businesses in the economy</w:t>
      </w:r>
    </w:p>
    <w:p w:rsidR="00D604C7" w:rsidRPr="00D604C7" w:rsidRDefault="00D604C7" w:rsidP="00216D89">
      <w:pPr>
        <w:pStyle w:val="Paragraph"/>
      </w:pPr>
      <w:r w:rsidRPr="00D604C7">
        <w:t xml:space="preserve">The </w:t>
      </w:r>
      <w:r w:rsidR="00265117">
        <w:t>s</w:t>
      </w:r>
      <w:r w:rsidRPr="00D604C7">
        <w:t xml:space="preserve">mall and </w:t>
      </w:r>
      <w:r w:rsidR="00265117">
        <w:t>m</w:t>
      </w:r>
      <w:r w:rsidRPr="00D604C7">
        <w:t xml:space="preserve">edium </w:t>
      </w:r>
      <w:r w:rsidR="00265117">
        <w:t>e</w:t>
      </w:r>
      <w:r w:rsidRPr="00D604C7">
        <w:t>nterprises (SME</w:t>
      </w:r>
      <w:r w:rsidR="00265117">
        <w:t>s</w:t>
      </w:r>
      <w:r w:rsidRPr="00D604C7">
        <w:t xml:space="preserve">) sector is the largest employer in developed economies. The focus of this section is on small business demography and </w:t>
      </w:r>
      <w:r w:rsidR="008931DA">
        <w:t>the contribution of the SME sector</w:t>
      </w:r>
      <w:r w:rsidRPr="00D604C7">
        <w:t xml:space="preserve"> to the economy.</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use the circular flow of income model to demonstrate the relationship between the business sector and other sectors in the economy</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classification of businesses by:</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size, including</w:t>
      </w:r>
      <w:r w:rsidR="008542B1">
        <w:rPr>
          <w:rFonts w:eastAsia="MS Mincho" w:cs="Calibri"/>
        </w:rPr>
        <w:t xml:space="preserve"> ‘small and medium enterprises’</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ownership</w:t>
      </w:r>
      <w:r w:rsidR="00784B46">
        <w:rPr>
          <w:rFonts w:eastAsia="MS Mincho" w:cs="Calibri"/>
        </w:rPr>
        <w:t>,</w:t>
      </w:r>
      <w:r w:rsidRPr="00D604C7">
        <w:rPr>
          <w:rFonts w:eastAsia="MS Mincho" w:cs="Calibri"/>
        </w:rPr>
        <w:t xml:space="preserve"> including sole trader, partnership, franchise, private company, public company</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purpose</w:t>
      </w:r>
      <w:r w:rsidR="00784B46">
        <w:rPr>
          <w:rFonts w:eastAsia="MS Mincho" w:cs="Calibri"/>
        </w:rPr>
        <w:t>,</w:t>
      </w:r>
      <w:r w:rsidRPr="00D604C7">
        <w:rPr>
          <w:rFonts w:eastAsia="MS Mincho" w:cs="Calibri"/>
        </w:rPr>
        <w:t xml:space="preserve"> including profit and not-for-profit</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the contribution of businesses to employment, income and production</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reason</w:t>
      </w:r>
      <w:r w:rsidR="007F6BBB" w:rsidRPr="008542B1">
        <w:rPr>
          <w:rFonts w:cs="Arial"/>
          <w:iCs/>
          <w:lang w:val="en-AU"/>
        </w:rPr>
        <w:t>s why</w:t>
      </w:r>
      <w:r w:rsidRPr="008542B1">
        <w:rPr>
          <w:rFonts w:cs="Arial"/>
          <w:iCs/>
          <w:lang w:val="en-AU"/>
        </w:rPr>
        <w:t xml:space="preserve"> businesses exist </w:t>
      </w:r>
      <w:r w:rsidR="007F6BBB" w:rsidRPr="008542B1">
        <w:rPr>
          <w:rFonts w:cs="Arial"/>
          <w:iCs/>
          <w:lang w:val="en-AU"/>
        </w:rPr>
        <w:t xml:space="preserve">i.e. </w:t>
      </w:r>
      <w:r w:rsidR="00A36186" w:rsidRPr="008542B1">
        <w:rPr>
          <w:rFonts w:cs="Arial"/>
          <w:iCs/>
          <w:lang w:val="en-AU"/>
        </w:rPr>
        <w:t>creating</w:t>
      </w:r>
      <w:r w:rsidRPr="008542B1">
        <w:rPr>
          <w:rFonts w:cs="Arial"/>
          <w:iCs/>
          <w:lang w:val="en-AU"/>
        </w:rPr>
        <w:t xml:space="preserve"> economic value</w:t>
      </w:r>
    </w:p>
    <w:p w:rsidR="00D604C7" w:rsidRPr="00D604C7" w:rsidRDefault="00D604C7" w:rsidP="00216D89">
      <w:pPr>
        <w:pStyle w:val="Heading5"/>
      </w:pPr>
      <w:r w:rsidRPr="00D604C7">
        <w:t>Business operations, planning and strategy</w:t>
      </w:r>
    </w:p>
    <w:p w:rsidR="00D604C7" w:rsidRPr="00D604C7" w:rsidRDefault="00D604C7" w:rsidP="00216D89">
      <w:pPr>
        <w:pStyle w:val="Paragraph"/>
      </w:pPr>
      <w:r w:rsidRPr="00D604C7">
        <w:t>Small b</w:t>
      </w:r>
      <w:r w:rsidR="0056610D">
        <w:t>usiness owners and managers face</w:t>
      </w:r>
      <w:r w:rsidRPr="00D604C7">
        <w:t xml:space="preserve"> many decisions about how to operate their business. These include the efficient use of available resources, achieving competitiveness in the market and meeting the challenges that cause change over time. The focus of this section is on how businesses make these decisions.</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the internal decisions</w:t>
      </w:r>
      <w:r w:rsidR="000D5752" w:rsidRPr="008542B1">
        <w:rPr>
          <w:rFonts w:cs="Arial"/>
          <w:iCs/>
          <w:lang w:val="en-AU"/>
        </w:rPr>
        <w:t xml:space="preserve"> facing businesses</w:t>
      </w:r>
      <w:r w:rsidR="00346E25" w:rsidRPr="008542B1">
        <w:rPr>
          <w:rFonts w:cs="Arial"/>
          <w:iCs/>
          <w:lang w:val="en-AU"/>
        </w:rPr>
        <w:t>,</w:t>
      </w:r>
      <w:r w:rsidR="000D5752" w:rsidRPr="008542B1">
        <w:rPr>
          <w:rFonts w:cs="Arial"/>
          <w:iCs/>
          <w:lang w:val="en-AU"/>
        </w:rPr>
        <w:t xml:space="preserve"> including</w:t>
      </w:r>
      <w:r w:rsidRPr="008542B1">
        <w:rPr>
          <w:rFonts w:cs="Arial"/>
          <w:iCs/>
          <w:lang w:val="en-AU"/>
        </w:rPr>
        <w:t>:</w:t>
      </w:r>
    </w:p>
    <w:p w:rsidR="000D5752" w:rsidRDefault="000D5752" w:rsidP="00216D89">
      <w:pPr>
        <w:numPr>
          <w:ilvl w:val="0"/>
          <w:numId w:val="27"/>
        </w:numPr>
        <w:tabs>
          <w:tab w:val="num" w:pos="709"/>
        </w:tabs>
        <w:spacing w:after="0" w:line="276" w:lineRule="auto"/>
        <w:ind w:left="709" w:hanging="284"/>
        <w:contextualSpacing/>
        <w:rPr>
          <w:rFonts w:eastAsia="MS Mincho" w:cs="Calibri"/>
        </w:rPr>
      </w:pPr>
      <w:r w:rsidRPr="00D604C7">
        <w:t>choosing the most efficient combination of resources and technology</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the nature of the supply chain</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the types of costs a business faces such as fixed (overheads) and variable (production) costs</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the external influences facing business</w:t>
      </w:r>
      <w:r w:rsidR="00346E25" w:rsidRPr="008542B1">
        <w:rPr>
          <w:rFonts w:cs="Arial"/>
          <w:iCs/>
          <w:lang w:val="en-AU"/>
        </w:rPr>
        <w:t>,</w:t>
      </w:r>
      <w:r w:rsidRPr="008542B1">
        <w:rPr>
          <w:rFonts w:cs="Arial"/>
          <w:iCs/>
          <w:lang w:val="en-AU"/>
        </w:rPr>
        <w:t xml:space="preserve"> including:</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market structures and how they influence the operation of individual businesses</w:t>
      </w:r>
      <w:r w:rsidR="007F6BBB">
        <w:rPr>
          <w:rFonts w:eastAsia="MS Mincho" w:cs="Calibri"/>
        </w:rPr>
        <w:t xml:space="preserve"> i.e. the degree of market power</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competition from other firms in the market (domestic and/or global)</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government regulations</w:t>
      </w:r>
    </w:p>
    <w:p w:rsidR="00D604C7" w:rsidRPr="00A722B0" w:rsidRDefault="00D604C7" w:rsidP="008542B1">
      <w:pPr>
        <w:pStyle w:val="ListItem"/>
        <w:numPr>
          <w:ilvl w:val="0"/>
          <w:numId w:val="22"/>
        </w:numPr>
        <w:spacing w:before="60" w:after="60"/>
        <w:ind w:left="357" w:hanging="357"/>
      </w:pPr>
      <w:r w:rsidRPr="008542B1">
        <w:rPr>
          <w:rFonts w:cs="Arial"/>
          <w:iCs/>
          <w:lang w:val="en-AU"/>
        </w:rPr>
        <w:t xml:space="preserve">the concept of </w:t>
      </w:r>
      <w:r w:rsidR="007F6BBB" w:rsidRPr="008542B1">
        <w:rPr>
          <w:rFonts w:cs="Arial"/>
          <w:iCs/>
          <w:lang w:val="en-AU"/>
        </w:rPr>
        <w:t xml:space="preserve">a </w:t>
      </w:r>
      <w:r w:rsidRPr="008542B1">
        <w:rPr>
          <w:rFonts w:cs="Arial"/>
          <w:iCs/>
          <w:lang w:val="en-AU"/>
        </w:rPr>
        <w:t>competitive advantage</w:t>
      </w:r>
      <w:r w:rsidR="00A722B0">
        <w:br w:type="page"/>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lastRenderedPageBreak/>
        <w:t>indicators of competitive advantage</w:t>
      </w:r>
      <w:r w:rsidR="00346E25" w:rsidRPr="008542B1">
        <w:rPr>
          <w:rFonts w:cs="Arial"/>
          <w:iCs/>
          <w:lang w:val="en-AU"/>
        </w:rPr>
        <w:t>,</w:t>
      </w:r>
      <w:r w:rsidRPr="008542B1">
        <w:rPr>
          <w:rFonts w:cs="Arial"/>
          <w:iCs/>
          <w:lang w:val="en-AU"/>
        </w:rPr>
        <w:t xml:space="preserve"> including:</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number of customers</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sales</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profitability</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growth rate</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drivers of ch</w:t>
      </w:r>
      <w:r w:rsidR="008F35BD" w:rsidRPr="008542B1">
        <w:rPr>
          <w:rFonts w:cs="Arial"/>
          <w:iCs/>
          <w:lang w:val="en-AU"/>
        </w:rPr>
        <w:t>ange in the market (Porter’s Five</w:t>
      </w:r>
      <w:r w:rsidR="00A722B0" w:rsidRPr="008542B1">
        <w:rPr>
          <w:rFonts w:cs="Arial"/>
          <w:iCs/>
          <w:lang w:val="en-AU"/>
        </w:rPr>
        <w:t xml:space="preserve"> Forces of C</w:t>
      </w:r>
      <w:r w:rsidR="008B7F1D" w:rsidRPr="008542B1">
        <w:rPr>
          <w:rFonts w:cs="Arial"/>
          <w:iCs/>
          <w:lang w:val="en-AU"/>
        </w:rPr>
        <w:t>hange)</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threat of substitutes</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buyer power</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supplier power</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threat of new entrants</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degree of rivalry</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 xml:space="preserve">economic strategies used by businesses to achieve </w:t>
      </w:r>
      <w:r w:rsidR="008F35BD" w:rsidRPr="008542B1">
        <w:rPr>
          <w:rFonts w:cs="Arial"/>
          <w:iCs/>
          <w:lang w:val="en-AU"/>
        </w:rPr>
        <w:t xml:space="preserve">a </w:t>
      </w:r>
      <w:r w:rsidRPr="008542B1">
        <w:rPr>
          <w:rFonts w:cs="Arial"/>
          <w:iCs/>
          <w:lang w:val="en-AU"/>
        </w:rPr>
        <w:t>competitive advantage</w:t>
      </w:r>
      <w:r w:rsidR="00346E25" w:rsidRPr="008542B1">
        <w:rPr>
          <w:rFonts w:cs="Arial"/>
          <w:iCs/>
          <w:lang w:val="en-AU"/>
        </w:rPr>
        <w:t>,</w:t>
      </w:r>
      <w:r w:rsidRPr="008542B1">
        <w:rPr>
          <w:rFonts w:cs="Arial"/>
          <w:iCs/>
          <w:lang w:val="en-AU"/>
        </w:rPr>
        <w:t xml:space="preserve"> including:</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product differentiation</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cost leadership</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market segmentation</w:t>
      </w:r>
    </w:p>
    <w:p w:rsidR="00D604C7" w:rsidRPr="00D604C7" w:rsidRDefault="00D604C7" w:rsidP="008542B1">
      <w:pPr>
        <w:pStyle w:val="ListItem"/>
        <w:numPr>
          <w:ilvl w:val="0"/>
          <w:numId w:val="22"/>
        </w:numPr>
        <w:spacing w:before="60" w:after="60"/>
        <w:ind w:left="357" w:hanging="357"/>
      </w:pPr>
      <w:r w:rsidRPr="008542B1">
        <w:rPr>
          <w:rFonts w:cs="Arial"/>
          <w:iCs/>
          <w:lang w:val="en-AU"/>
        </w:rPr>
        <w:t>influences on business operations</w:t>
      </w:r>
      <w:r w:rsidR="00346E25" w:rsidRPr="008542B1">
        <w:rPr>
          <w:rFonts w:cs="Arial"/>
          <w:iCs/>
          <w:lang w:val="en-AU"/>
        </w:rPr>
        <w:t>,</w:t>
      </w:r>
      <w:r w:rsidRPr="008542B1">
        <w:rPr>
          <w:rFonts w:cs="Arial"/>
          <w:iCs/>
          <w:lang w:val="en-AU"/>
        </w:rPr>
        <w:t xml:space="preserve"> including:</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government regulations</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sustainability</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occupational health and safety</w:t>
      </w:r>
    </w:p>
    <w:p w:rsidR="00D604C7" w:rsidRPr="00D604C7" w:rsidRDefault="00D604C7" w:rsidP="00216D89">
      <w:pPr>
        <w:numPr>
          <w:ilvl w:val="0"/>
          <w:numId w:val="27"/>
        </w:numPr>
        <w:tabs>
          <w:tab w:val="num" w:pos="709"/>
        </w:tabs>
        <w:spacing w:after="0" w:line="276" w:lineRule="auto"/>
        <w:ind w:left="709" w:hanging="284"/>
        <w:contextualSpacing/>
        <w:rPr>
          <w:rFonts w:eastAsia="MS Mincho" w:cs="Calibri"/>
        </w:rPr>
      </w:pPr>
      <w:r w:rsidRPr="00D604C7">
        <w:rPr>
          <w:rFonts w:eastAsia="MS Mincho" w:cs="Calibri"/>
        </w:rPr>
        <w:t>ethical behaviour</w:t>
      </w:r>
    </w:p>
    <w:p w:rsidR="00A722B0"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factors that influence business sustainability (success or failure)</w:t>
      </w:r>
      <w:r w:rsidR="00346E25" w:rsidRPr="008542B1">
        <w:rPr>
          <w:rFonts w:cs="Arial"/>
          <w:iCs/>
          <w:lang w:val="en-AU"/>
        </w:rPr>
        <w:t>,</w:t>
      </w:r>
      <w:r w:rsidR="00A722B0" w:rsidRPr="008542B1">
        <w:rPr>
          <w:rFonts w:cs="Arial"/>
          <w:iCs/>
          <w:lang w:val="en-AU"/>
        </w:rPr>
        <w:t xml:space="preserve"> including:</w:t>
      </w:r>
    </w:p>
    <w:p w:rsidR="00A722B0" w:rsidRDefault="00A722B0"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the need to control costs</w:t>
      </w:r>
    </w:p>
    <w:p w:rsidR="00A722B0" w:rsidRDefault="00A722B0"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the need to understand the market</w:t>
      </w:r>
    </w:p>
    <w:p w:rsidR="00A722B0" w:rsidRDefault="00A722B0"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finding creative and innovative solutions</w:t>
      </w:r>
    </w:p>
    <w:p w:rsidR="00A722B0" w:rsidRDefault="00A722B0"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understanding the changing needs of customers</w:t>
      </w:r>
    </w:p>
    <w:p w:rsidR="00A722B0" w:rsidRPr="00D604C7" w:rsidRDefault="00A722B0" w:rsidP="00216D89">
      <w:pPr>
        <w:numPr>
          <w:ilvl w:val="0"/>
          <w:numId w:val="27"/>
        </w:numPr>
        <w:tabs>
          <w:tab w:val="num" w:pos="709"/>
        </w:tabs>
        <w:spacing w:after="0" w:line="276" w:lineRule="auto"/>
        <w:ind w:left="709" w:hanging="284"/>
        <w:contextualSpacing/>
        <w:rPr>
          <w:rFonts w:eastAsia="MS Mincho" w:cs="Calibri"/>
        </w:rPr>
      </w:pPr>
      <w:r>
        <w:rPr>
          <w:rFonts w:eastAsia="MS Mincho" w:cs="Calibri"/>
        </w:rPr>
        <w:t>understanding the ‘macro’ environment such as the business cycle, the operation of government policy, exchange rate movements and the global economy</w:t>
      </w:r>
    </w:p>
    <w:p w:rsidR="00D604C7" w:rsidRPr="00D604C7" w:rsidRDefault="00D604C7" w:rsidP="00216D89">
      <w:pPr>
        <w:pStyle w:val="Heading3"/>
        <w:spacing w:line="276" w:lineRule="auto"/>
      </w:pPr>
      <w:r w:rsidRPr="00D604C7">
        <w:t>Economic skills</w:t>
      </w:r>
    </w:p>
    <w:p w:rsidR="00D604C7" w:rsidRPr="00D604C7" w:rsidRDefault="00D604C7" w:rsidP="00216D89">
      <w:pPr>
        <w:pStyle w:val="Paragraph"/>
        <w:rPr>
          <w:b/>
        </w:rPr>
      </w:pPr>
      <w:r w:rsidRPr="00D604C7">
        <w:rPr>
          <w:b/>
        </w:rPr>
        <w:t>Economic research</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identify research questions to investigate</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select appropriate print and electronic media sources of economic information and data to inform business decisions</w:t>
      </w:r>
    </w:p>
    <w:p w:rsidR="00D604C7" w:rsidRPr="008542B1" w:rsidRDefault="00D604C7" w:rsidP="008542B1">
      <w:pPr>
        <w:pStyle w:val="ListItem"/>
        <w:numPr>
          <w:ilvl w:val="0"/>
          <w:numId w:val="22"/>
        </w:numPr>
        <w:spacing w:before="60" w:after="60"/>
        <w:ind w:left="357" w:hanging="357"/>
        <w:rPr>
          <w:rFonts w:cs="Arial"/>
          <w:iCs/>
          <w:lang w:val="en-AU"/>
        </w:rPr>
      </w:pPr>
      <w:r w:rsidRPr="008542B1">
        <w:rPr>
          <w:rFonts w:cs="Arial"/>
          <w:iCs/>
          <w:lang w:val="en-AU"/>
        </w:rPr>
        <w:t>apply appropriate methods of recording and organising economic information and data such as tables, charts and graphs</w:t>
      </w:r>
    </w:p>
    <w:p w:rsidR="00D31692" w:rsidRPr="008542B1" w:rsidRDefault="00D604C7" w:rsidP="00216D89">
      <w:pPr>
        <w:pStyle w:val="ListItem"/>
        <w:numPr>
          <w:ilvl w:val="0"/>
          <w:numId w:val="22"/>
        </w:numPr>
        <w:spacing w:before="60" w:after="60"/>
        <w:ind w:left="357" w:hanging="357"/>
        <w:rPr>
          <w:rFonts w:cs="Arial"/>
          <w:iCs/>
          <w:lang w:val="en-AU"/>
        </w:rPr>
      </w:pPr>
      <w:r w:rsidRPr="008542B1">
        <w:rPr>
          <w:rFonts w:cs="Arial"/>
          <w:iCs/>
          <w:lang w:val="en-AU"/>
        </w:rPr>
        <w:t xml:space="preserve">apply problem-solving, critical thinking and decision-making strategies to achieve outcomes </w:t>
      </w:r>
      <w:r w:rsidR="00784B46" w:rsidRPr="008542B1">
        <w:rPr>
          <w:rFonts w:cs="Arial"/>
          <w:iCs/>
          <w:lang w:val="en-AU"/>
        </w:rPr>
        <w:t>that</w:t>
      </w:r>
      <w:r w:rsidRPr="008542B1">
        <w:rPr>
          <w:rFonts w:cs="Arial"/>
          <w:iCs/>
          <w:lang w:val="en-AU"/>
        </w:rPr>
        <w:t xml:space="preserve"> may be predictable and contestable by nature</w:t>
      </w:r>
      <w:r w:rsidR="00D31692" w:rsidRPr="008542B1">
        <w:rPr>
          <w:b/>
        </w:rPr>
        <w:br w:type="page"/>
      </w:r>
    </w:p>
    <w:p w:rsidR="00D604C7" w:rsidRPr="00D604C7" w:rsidRDefault="00D604C7" w:rsidP="00216D89">
      <w:pPr>
        <w:pStyle w:val="Paragraph"/>
        <w:rPr>
          <w:b/>
        </w:rPr>
      </w:pPr>
      <w:r w:rsidRPr="00D604C7">
        <w:rPr>
          <w:b/>
        </w:rPr>
        <w:lastRenderedPageBreak/>
        <w:t>Reasoning, interpretation and analysis</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identify and organise rele</w:t>
      </w:r>
      <w:r w:rsidR="002F0544">
        <w:rPr>
          <w:rFonts w:cs="Arial"/>
          <w:iCs/>
          <w:lang w:val="en-AU"/>
        </w:rPr>
        <w:t>vant information within sources</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identify trends and relationships in the SME sector such as employment,</w:t>
      </w:r>
      <w:r w:rsidR="002F0544">
        <w:rPr>
          <w:rFonts w:cs="Arial"/>
          <w:iCs/>
          <w:lang w:val="en-AU"/>
        </w:rPr>
        <w:t xml:space="preserve"> output and success and failure</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use economic information and data to develop strategies to achieve competitive advantage</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apply mathematical techniques relevant to business operations</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use economics models such as the circular flow of income model, market structures, types of costs</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apply economic theories su</w:t>
      </w:r>
      <w:r w:rsidR="00346E25" w:rsidRPr="00092C70">
        <w:rPr>
          <w:rFonts w:cs="Arial"/>
          <w:iCs/>
          <w:lang w:val="en-AU"/>
        </w:rPr>
        <w:t>ch as value creation, Porter’s Five</w:t>
      </w:r>
      <w:r w:rsidRPr="00092C70">
        <w:rPr>
          <w:rFonts w:cs="Arial"/>
          <w:iCs/>
          <w:lang w:val="en-AU"/>
        </w:rPr>
        <w:t xml:space="preserve"> Forces</w:t>
      </w:r>
      <w:r w:rsidR="00EA52DA" w:rsidRPr="00092C70">
        <w:rPr>
          <w:rFonts w:cs="Arial"/>
          <w:iCs/>
          <w:lang w:val="en-AU"/>
        </w:rPr>
        <w:t xml:space="preserve"> of Change</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 xml:space="preserve">apply </w:t>
      </w:r>
      <w:r w:rsidR="00EA52DA" w:rsidRPr="00092C70">
        <w:rPr>
          <w:rFonts w:cs="Arial"/>
          <w:iCs/>
          <w:lang w:val="en-AU"/>
        </w:rPr>
        <w:t>economic reasoning to develop a</w:t>
      </w:r>
      <w:r w:rsidRPr="00092C70">
        <w:rPr>
          <w:rFonts w:cs="Arial"/>
          <w:iCs/>
          <w:lang w:val="en-AU"/>
        </w:rPr>
        <w:t xml:space="preserve"> business strategy</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use evidence found in economic information and data to justify a conclusion</w:t>
      </w:r>
    </w:p>
    <w:p w:rsidR="00D604C7" w:rsidRPr="00D604C7" w:rsidRDefault="00D604C7" w:rsidP="00216D89">
      <w:pPr>
        <w:pStyle w:val="Paragraph"/>
        <w:rPr>
          <w:b/>
        </w:rPr>
      </w:pPr>
      <w:r w:rsidRPr="00D604C7">
        <w:rPr>
          <w:b/>
        </w:rPr>
        <w:t>Communication</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select and use appropriate terminology</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select and use appropriate formats when communicating economic understandings</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use economic models to convey economic theory and reasoning about small business economics and decision making</w:t>
      </w:r>
    </w:p>
    <w:p w:rsidR="00D604C7" w:rsidRPr="00092C70" w:rsidRDefault="00D604C7" w:rsidP="00092C70">
      <w:pPr>
        <w:pStyle w:val="ListItem"/>
        <w:numPr>
          <w:ilvl w:val="0"/>
          <w:numId w:val="22"/>
        </w:numPr>
        <w:spacing w:before="60" w:after="60"/>
        <w:ind w:left="357" w:hanging="357"/>
        <w:rPr>
          <w:rFonts w:cs="Arial"/>
          <w:iCs/>
          <w:lang w:val="en-AU"/>
        </w:rPr>
      </w:pPr>
      <w:r w:rsidRPr="00092C70">
        <w:rPr>
          <w:rFonts w:cs="Arial"/>
          <w:iCs/>
          <w:lang w:val="en-AU"/>
        </w:rPr>
        <w:t>prepare and present information that describes and explains concepts and reasoning relevant to small business economics</w:t>
      </w:r>
    </w:p>
    <w:p w:rsidR="00167B95" w:rsidRPr="00092C70" w:rsidRDefault="00D604C7" w:rsidP="00216D89">
      <w:pPr>
        <w:pStyle w:val="ListItem"/>
        <w:numPr>
          <w:ilvl w:val="0"/>
          <w:numId w:val="22"/>
        </w:numPr>
        <w:spacing w:before="60" w:after="60"/>
        <w:ind w:left="357" w:hanging="357"/>
        <w:rPr>
          <w:rFonts w:cs="Arial"/>
          <w:iCs/>
          <w:lang w:val="en-AU"/>
        </w:rPr>
      </w:pPr>
      <w:r w:rsidRPr="00092C70">
        <w:rPr>
          <w:rFonts w:cs="Arial"/>
          <w:iCs/>
          <w:lang w:val="en-AU"/>
        </w:rPr>
        <w:t>reflect on the investigation process used</w:t>
      </w:r>
      <w:r w:rsidR="00167B95" w:rsidRPr="00042703">
        <w:br w:type="page"/>
      </w:r>
    </w:p>
    <w:p w:rsidR="00C10457" w:rsidRPr="00042703" w:rsidRDefault="00C10457" w:rsidP="00216D89">
      <w:pPr>
        <w:pStyle w:val="Heading1"/>
        <w:spacing w:line="276" w:lineRule="auto"/>
      </w:pPr>
      <w:bookmarkStart w:id="36" w:name="_Toc347908209"/>
      <w:bookmarkStart w:id="37" w:name="_Toc381793607"/>
      <w:bookmarkStart w:id="38" w:name="_Toc360457894"/>
      <w:bookmarkStart w:id="39" w:name="_Toc359503808"/>
      <w:r w:rsidRPr="00042703">
        <w:lastRenderedPageBreak/>
        <w:t>School-based assessment</w:t>
      </w:r>
      <w:bookmarkEnd w:id="36"/>
      <w:bookmarkEnd w:id="37"/>
    </w:p>
    <w:p w:rsidR="00C10457" w:rsidRPr="00042703" w:rsidRDefault="00C10457" w:rsidP="00216D89">
      <w:pPr>
        <w:spacing w:before="120" w:line="276" w:lineRule="auto"/>
      </w:pPr>
      <w:bookmarkStart w:id="40" w:name="_Toc347908210"/>
      <w:r w:rsidRPr="00042703">
        <w:t xml:space="preserve">The </w:t>
      </w:r>
      <w:r w:rsidR="00346E25">
        <w:t xml:space="preserve">Western Australian Certificate of Education (WACE) </w:t>
      </w:r>
      <w:r w:rsidRPr="00042703">
        <w:t>Manual contains essential information on principles, policies and procedures for school-based assessment that needs to be read in conjunction with this syllabus.</w:t>
      </w:r>
    </w:p>
    <w:bookmarkEnd w:id="40"/>
    <w:p w:rsidR="00C10457" w:rsidRPr="00042703" w:rsidRDefault="00C10457" w:rsidP="00216D89">
      <w:pPr>
        <w:spacing w:before="120" w:line="276" w:lineRule="auto"/>
      </w:pPr>
      <w:r w:rsidRPr="00042703">
        <w:t xml:space="preserve">Teachers design school-based assessment tasks to meet the needs of students. The table below provides details of the assessment types </w:t>
      </w:r>
      <w:r w:rsidR="004D2A71" w:rsidRPr="00042703">
        <w:t xml:space="preserve">for </w:t>
      </w:r>
      <w:r w:rsidR="002C234E">
        <w:t xml:space="preserve">the </w:t>
      </w:r>
      <w:r w:rsidR="00862491" w:rsidRPr="00BE36BD">
        <w:rPr>
          <w:rStyle w:val="ParagraphChar"/>
        </w:rPr>
        <w:t>Economics</w:t>
      </w:r>
      <w:r w:rsidR="00862491">
        <w:rPr>
          <w:rFonts w:ascii="Arial" w:eastAsia="Times New Roman" w:hAnsi="Arial" w:cs="Arial"/>
          <w:sz w:val="20"/>
          <w:szCs w:val="24"/>
        </w:rPr>
        <w:t xml:space="preserve"> </w:t>
      </w:r>
      <w:r w:rsidR="00862491" w:rsidRPr="00042703">
        <w:t xml:space="preserve">General </w:t>
      </w:r>
      <w:r w:rsidR="004D2A71" w:rsidRPr="00042703">
        <w:t>Year 11</w:t>
      </w:r>
      <w:r w:rsidR="00631769" w:rsidRPr="00042703">
        <w:t xml:space="preserve"> </w:t>
      </w:r>
      <w:r w:rsidR="006E4008" w:rsidRPr="006E4008">
        <w:t xml:space="preserve">syllabus </w:t>
      </w:r>
      <w:r w:rsidRPr="006E4008">
        <w:t xml:space="preserve">and </w:t>
      </w:r>
      <w:r w:rsidRPr="00042703">
        <w:t>the weighting for each assessment type.</w:t>
      </w:r>
    </w:p>
    <w:p w:rsidR="00C10457" w:rsidRPr="00042703" w:rsidRDefault="00C10457" w:rsidP="00216D89">
      <w:pPr>
        <w:pStyle w:val="Heading3"/>
        <w:spacing w:line="276" w:lineRule="auto"/>
      </w:pPr>
      <w:bookmarkStart w:id="41" w:name="_Toc359503791"/>
      <w:r w:rsidRPr="00042703">
        <w:t>Assessment table</w:t>
      </w:r>
      <w:bookmarkEnd w:id="41"/>
      <w:r w:rsidR="00F27434" w:rsidRPr="00042703">
        <w:t xml:space="preserve"> </w:t>
      </w:r>
      <w:r w:rsidR="00116223" w:rsidRPr="00042703">
        <w:t>–</w:t>
      </w:r>
      <w:r w:rsidR="00F27434" w:rsidRPr="00042703">
        <w:t xml:space="preserve"> Year 11</w:t>
      </w:r>
    </w:p>
    <w:tbl>
      <w:tblPr>
        <w:tblStyle w:val="LightList-Accent4"/>
        <w:tblW w:w="9889" w:type="dxa"/>
        <w:tblLayout w:type="fixed"/>
        <w:tblLook w:val="00A0" w:firstRow="1" w:lastRow="0" w:firstColumn="1" w:lastColumn="0" w:noHBand="0" w:noVBand="0"/>
      </w:tblPr>
      <w:tblGrid>
        <w:gridCol w:w="8188"/>
        <w:gridCol w:w="1701"/>
      </w:tblGrid>
      <w:tr w:rsidR="00C10457" w:rsidRPr="00042703" w:rsidTr="004D2A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216D89">
            <w:pPr>
              <w:spacing w:before="0" w:after="0" w:line="276" w:lineRule="auto"/>
              <w:rPr>
                <w:rFonts w:ascii="Calibri" w:hAnsi="Calibri"/>
              </w:rPr>
            </w:pPr>
            <w:r w:rsidRPr="00042703">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C10457" w:rsidRPr="00042703" w:rsidRDefault="00C10457" w:rsidP="00216D89">
            <w:pPr>
              <w:spacing w:before="0" w:after="0" w:line="276" w:lineRule="auto"/>
              <w:jc w:val="center"/>
              <w:rPr>
                <w:rFonts w:ascii="Calibri" w:hAnsi="Calibri"/>
              </w:rPr>
            </w:pPr>
            <w:r w:rsidRPr="00042703">
              <w:rPr>
                <w:rFonts w:ascii="Calibri" w:hAnsi="Calibri"/>
              </w:rPr>
              <w:t>Weighting</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BE36BD" w:rsidRPr="008E7D33" w:rsidRDefault="00BE36BD" w:rsidP="00216D89">
            <w:pPr>
              <w:spacing w:line="276" w:lineRule="auto"/>
              <w:jc w:val="left"/>
              <w:rPr>
                <w:rFonts w:ascii="Calibri" w:hAnsi="Calibri"/>
              </w:rPr>
            </w:pPr>
            <w:r w:rsidRPr="008E7D33">
              <w:rPr>
                <w:rFonts w:ascii="Calibri" w:hAnsi="Calibri"/>
              </w:rPr>
              <w:t>Investigation</w:t>
            </w:r>
          </w:p>
          <w:p w:rsidR="00BE36BD" w:rsidRPr="00BE36BD" w:rsidRDefault="00BE36BD" w:rsidP="00216D89">
            <w:pPr>
              <w:spacing w:line="276" w:lineRule="auto"/>
              <w:jc w:val="left"/>
              <w:rPr>
                <w:rFonts w:ascii="Calibri" w:hAnsi="Calibri"/>
                <w:b w:val="0"/>
              </w:rPr>
            </w:pPr>
            <w:r w:rsidRPr="00BE36BD">
              <w:rPr>
                <w:rFonts w:ascii="Calibri" w:hAnsi="Calibri"/>
                <w:b w:val="0"/>
              </w:rPr>
              <w:t xml:space="preserve">Students examine an economic concept, event </w:t>
            </w:r>
            <w:r w:rsidR="00C02704">
              <w:rPr>
                <w:rFonts w:ascii="Calibri" w:hAnsi="Calibri"/>
                <w:b w:val="0"/>
              </w:rPr>
              <w:t xml:space="preserve">or issue. The investigation can </w:t>
            </w:r>
            <w:r w:rsidRPr="00BE36BD">
              <w:rPr>
                <w:rFonts w:ascii="Calibri" w:hAnsi="Calibri"/>
                <w:b w:val="0"/>
              </w:rPr>
              <w:t>be based on economic information and data provided by the teacher</w:t>
            </w:r>
            <w:r w:rsidR="00C02704">
              <w:rPr>
                <w:rFonts w:ascii="Calibri" w:hAnsi="Calibri"/>
                <w:b w:val="0"/>
              </w:rPr>
              <w:t xml:space="preserve">, or </w:t>
            </w:r>
            <w:r w:rsidRPr="00BE36BD">
              <w:rPr>
                <w:rFonts w:ascii="Calibri" w:hAnsi="Calibri"/>
                <w:b w:val="0"/>
              </w:rPr>
              <w:t>require students to locate economic information and data for research.</w:t>
            </w:r>
          </w:p>
          <w:p w:rsidR="00C10457" w:rsidRDefault="00BE36BD" w:rsidP="00216D89">
            <w:pPr>
              <w:spacing w:line="276" w:lineRule="auto"/>
              <w:jc w:val="left"/>
              <w:rPr>
                <w:rFonts w:ascii="Calibri" w:hAnsi="Calibri"/>
                <w:b w:val="0"/>
              </w:rPr>
            </w:pPr>
            <w:r w:rsidRPr="00BE36BD">
              <w:rPr>
                <w:rFonts w:ascii="Calibri" w:hAnsi="Calibri"/>
                <w:b w:val="0"/>
              </w:rPr>
              <w:t>The format of the final presentation can be written, digital or oral.</w:t>
            </w:r>
          </w:p>
          <w:p w:rsidR="00C02704" w:rsidRPr="00042703" w:rsidRDefault="00C02704" w:rsidP="00216D89">
            <w:pPr>
              <w:spacing w:line="276" w:lineRule="auto"/>
              <w:jc w:val="left"/>
              <w:rPr>
                <w:rFonts w:ascii="Calibri" w:hAnsi="Calibri"/>
                <w:b w:val="0"/>
                <w:i/>
              </w:rPr>
            </w:pPr>
            <w:r w:rsidRPr="00C02704">
              <w:rPr>
                <w:rFonts w:ascii="Calibri" w:hAnsi="Calibri"/>
                <w:b w:val="0"/>
              </w:rPr>
              <w:t>One investigation should be completed for each unit.</w:t>
            </w:r>
          </w:p>
        </w:tc>
        <w:tc>
          <w:tcPr>
            <w:cnfStyle w:val="000010000000" w:firstRow="0" w:lastRow="0" w:firstColumn="0" w:lastColumn="0" w:oddVBand="1" w:evenVBand="0" w:oddHBand="0" w:evenHBand="0" w:firstRowFirstColumn="0" w:firstRowLastColumn="0" w:lastRowFirstColumn="0" w:lastRowLastColumn="0"/>
            <w:tcW w:w="1701" w:type="dxa"/>
          </w:tcPr>
          <w:p w:rsidR="00C10457" w:rsidRPr="00042703" w:rsidRDefault="008E7D33" w:rsidP="00216D89">
            <w:pPr>
              <w:spacing w:line="276" w:lineRule="auto"/>
              <w:jc w:val="center"/>
              <w:rPr>
                <w:rFonts w:ascii="Calibri" w:hAnsi="Calibri"/>
              </w:rPr>
            </w:pPr>
            <w:r>
              <w:rPr>
                <w:rFonts w:ascii="Calibri" w:hAnsi="Calibri"/>
              </w:rPr>
              <w:t>20%</w:t>
            </w:r>
          </w:p>
        </w:tc>
      </w:tr>
      <w:tr w:rsidR="004D2A71"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8E7D33" w:rsidRPr="008E7D33" w:rsidRDefault="008E7D33" w:rsidP="00216D89">
            <w:pPr>
              <w:spacing w:line="276" w:lineRule="auto"/>
              <w:jc w:val="left"/>
              <w:rPr>
                <w:rFonts w:ascii="Calibri" w:hAnsi="Calibri"/>
              </w:rPr>
            </w:pPr>
            <w:r w:rsidRPr="008E7D33">
              <w:rPr>
                <w:rFonts w:ascii="Calibri" w:hAnsi="Calibri"/>
              </w:rPr>
              <w:t>Data interpretation/Short answer</w:t>
            </w:r>
          </w:p>
          <w:p w:rsidR="008E7D33" w:rsidRPr="008E7D33" w:rsidRDefault="008E7D33" w:rsidP="00216D89">
            <w:pPr>
              <w:spacing w:line="276" w:lineRule="auto"/>
              <w:jc w:val="left"/>
              <w:rPr>
                <w:rFonts w:ascii="Calibri" w:hAnsi="Calibri"/>
                <w:b w:val="0"/>
              </w:rPr>
            </w:pPr>
            <w:r w:rsidRPr="008E7D33">
              <w:rPr>
                <w:rFonts w:ascii="Calibri" w:hAnsi="Calibri"/>
                <w:b w:val="0"/>
              </w:rPr>
              <w:t xml:space="preserve">An answer of less than 150 words that can </w:t>
            </w:r>
            <w:r w:rsidRPr="00784B46">
              <w:rPr>
                <w:rFonts w:ascii="Calibri" w:hAnsi="Calibri"/>
                <w:b w:val="0"/>
              </w:rPr>
              <w:t>include</w:t>
            </w:r>
            <w:r w:rsidR="00F36DD0">
              <w:rPr>
                <w:rFonts w:ascii="Calibri" w:hAnsi="Calibri"/>
                <w:b w:val="0"/>
              </w:rPr>
              <w:t xml:space="preserve"> a</w:t>
            </w:r>
            <w:r w:rsidRPr="00784B46">
              <w:rPr>
                <w:rFonts w:ascii="Calibri" w:hAnsi="Calibri"/>
                <w:b w:val="0"/>
              </w:rPr>
              <w:t xml:space="preserve"> discuss</w:t>
            </w:r>
            <w:r w:rsidR="00F36DD0">
              <w:rPr>
                <w:rFonts w:ascii="Calibri" w:hAnsi="Calibri"/>
                <w:b w:val="0"/>
              </w:rPr>
              <w:t>ion</w:t>
            </w:r>
            <w:r w:rsidRPr="00784B46">
              <w:rPr>
                <w:rFonts w:ascii="Calibri" w:hAnsi="Calibri"/>
                <w:b w:val="0"/>
              </w:rPr>
              <w:t xml:space="preserve">, </w:t>
            </w:r>
            <w:r w:rsidR="00F36DD0">
              <w:rPr>
                <w:rFonts w:ascii="Calibri" w:hAnsi="Calibri"/>
                <w:b w:val="0"/>
              </w:rPr>
              <w:t>an expla</w:t>
            </w:r>
            <w:r w:rsidRPr="00784B46">
              <w:rPr>
                <w:rFonts w:ascii="Calibri" w:hAnsi="Calibri"/>
                <w:b w:val="0"/>
              </w:rPr>
              <w:t>n</w:t>
            </w:r>
            <w:r w:rsidR="00F36DD0">
              <w:rPr>
                <w:rFonts w:ascii="Calibri" w:hAnsi="Calibri"/>
                <w:b w:val="0"/>
              </w:rPr>
              <w:t>ation</w:t>
            </w:r>
            <w:r w:rsidRPr="00784B46">
              <w:rPr>
                <w:rFonts w:ascii="Calibri" w:hAnsi="Calibri"/>
                <w:b w:val="0"/>
              </w:rPr>
              <w:t xml:space="preserve"> or </w:t>
            </w:r>
            <w:r w:rsidR="00F36DD0">
              <w:rPr>
                <w:rFonts w:ascii="Calibri" w:hAnsi="Calibri"/>
                <w:b w:val="0"/>
              </w:rPr>
              <w:t>an analysis</w:t>
            </w:r>
            <w:r w:rsidRPr="00784B46">
              <w:rPr>
                <w:rFonts w:ascii="Calibri" w:hAnsi="Calibri"/>
                <w:b w:val="0"/>
              </w:rPr>
              <w:t xml:space="preserve"> </w:t>
            </w:r>
            <w:r w:rsidR="00F36DD0">
              <w:rPr>
                <w:rFonts w:ascii="Calibri" w:hAnsi="Calibri"/>
                <w:b w:val="0"/>
              </w:rPr>
              <w:t xml:space="preserve">of </w:t>
            </w:r>
            <w:r w:rsidRPr="00784B46">
              <w:rPr>
                <w:rFonts w:ascii="Calibri" w:hAnsi="Calibri"/>
                <w:b w:val="0"/>
              </w:rPr>
              <w:t>an economic concept,</w:t>
            </w:r>
            <w:r w:rsidRPr="008E7D33">
              <w:rPr>
                <w:rFonts w:ascii="Calibri" w:hAnsi="Calibri"/>
                <w:b w:val="0"/>
              </w:rPr>
              <w:t xml:space="preserve"> event or issue.</w:t>
            </w:r>
          </w:p>
          <w:p w:rsidR="008E7D33" w:rsidRPr="008E7D33" w:rsidRDefault="008E7D33" w:rsidP="00216D89">
            <w:pPr>
              <w:spacing w:line="276" w:lineRule="auto"/>
              <w:jc w:val="left"/>
              <w:rPr>
                <w:rFonts w:ascii="Calibri" w:hAnsi="Calibri"/>
                <w:b w:val="0"/>
              </w:rPr>
            </w:pPr>
            <w:r w:rsidRPr="008E7D33">
              <w:rPr>
                <w:rFonts w:ascii="Calibri" w:hAnsi="Calibri"/>
                <w:b w:val="0"/>
              </w:rPr>
              <w:t xml:space="preserve">Formats can include: multiple-choice questions; calculations; short answer questions </w:t>
            </w:r>
            <w:r w:rsidR="00C02704">
              <w:rPr>
                <w:rFonts w:ascii="Calibri" w:hAnsi="Calibri"/>
                <w:b w:val="0"/>
              </w:rPr>
              <w:t>that</w:t>
            </w:r>
            <w:r w:rsidRPr="008E7D33">
              <w:rPr>
                <w:rFonts w:ascii="Calibri" w:hAnsi="Calibri"/>
                <w:b w:val="0"/>
              </w:rPr>
              <w:t xml:space="preserve"> can require a definition, description, explanation or application of economic concepts, theories a</w:t>
            </w:r>
            <w:r w:rsidR="00C25A1C">
              <w:rPr>
                <w:rFonts w:ascii="Calibri" w:hAnsi="Calibri"/>
                <w:b w:val="0"/>
              </w:rPr>
              <w:t xml:space="preserve">nd/or models; short answer questions </w:t>
            </w:r>
            <w:r w:rsidR="00F36DD0">
              <w:rPr>
                <w:rFonts w:ascii="Calibri" w:hAnsi="Calibri"/>
                <w:b w:val="0"/>
              </w:rPr>
              <w:t>that</w:t>
            </w:r>
            <w:r w:rsidRPr="008E7D33">
              <w:rPr>
                <w:rFonts w:ascii="Calibri" w:hAnsi="Calibri"/>
                <w:b w:val="0"/>
              </w:rPr>
              <w:t xml:space="preserve"> can require interpretation of real or hypothetical economic data or information such as graphs, tables, text or cartoons. </w:t>
            </w:r>
          </w:p>
          <w:p w:rsidR="004D2A71" w:rsidRDefault="008E7D33" w:rsidP="00216D89">
            <w:pPr>
              <w:spacing w:line="276" w:lineRule="auto"/>
              <w:jc w:val="left"/>
              <w:rPr>
                <w:rFonts w:ascii="Calibri" w:hAnsi="Calibri"/>
                <w:b w:val="0"/>
              </w:rPr>
            </w:pPr>
            <w:r w:rsidRPr="008E7D33">
              <w:rPr>
                <w:rFonts w:ascii="Calibri" w:hAnsi="Calibri"/>
                <w:b w:val="0"/>
              </w:rPr>
              <w:t>Tasks are typically a combination of these formats.</w:t>
            </w:r>
          </w:p>
          <w:p w:rsidR="00C02704" w:rsidRPr="00042703" w:rsidRDefault="00C02704" w:rsidP="00216D89">
            <w:pPr>
              <w:spacing w:line="276" w:lineRule="auto"/>
              <w:jc w:val="left"/>
              <w:rPr>
                <w:rFonts w:ascii="Calibri" w:hAnsi="Calibri"/>
                <w:b w:val="0"/>
                <w:i/>
              </w:rPr>
            </w:pPr>
            <w:r w:rsidRPr="003A6B04">
              <w:rPr>
                <w:rFonts w:ascii="Calibri" w:hAnsi="Calibri"/>
                <w:b w:val="0"/>
              </w:rPr>
              <w:t>At least two data interpretation/short answer tasks should be completed under test conditions.</w:t>
            </w:r>
          </w:p>
        </w:tc>
        <w:tc>
          <w:tcPr>
            <w:cnfStyle w:val="000010000000" w:firstRow="0" w:lastRow="0" w:firstColumn="0" w:lastColumn="0" w:oddVBand="1" w:evenVBand="0" w:oddHBand="0" w:evenHBand="0" w:firstRowFirstColumn="0" w:firstRowLastColumn="0" w:lastRowFirstColumn="0" w:lastRowLastColumn="0"/>
            <w:tcW w:w="1701" w:type="dxa"/>
          </w:tcPr>
          <w:p w:rsidR="004D2A71" w:rsidRPr="00042703" w:rsidRDefault="008E7D33" w:rsidP="00216D89">
            <w:pPr>
              <w:spacing w:line="276" w:lineRule="auto"/>
              <w:jc w:val="center"/>
              <w:rPr>
                <w:rFonts w:ascii="Calibri" w:hAnsi="Calibri"/>
              </w:rPr>
            </w:pPr>
            <w:r>
              <w:rPr>
                <w:rFonts w:ascii="Calibri" w:hAnsi="Calibri"/>
              </w:rPr>
              <w:t>30%</w:t>
            </w:r>
          </w:p>
        </w:tc>
      </w:tr>
      <w:tr w:rsidR="004D2A71"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8E7D33" w:rsidRPr="008E7D33" w:rsidRDefault="008E7D33" w:rsidP="00216D89">
            <w:pPr>
              <w:widowControl w:val="0"/>
              <w:spacing w:line="276" w:lineRule="auto"/>
              <w:jc w:val="left"/>
              <w:rPr>
                <w:rFonts w:ascii="Calibri" w:eastAsia="Times New Roman" w:hAnsi="Calibri" w:cs="Calibri"/>
                <w:szCs w:val="18"/>
              </w:rPr>
            </w:pPr>
            <w:r w:rsidRPr="008E7D33">
              <w:rPr>
                <w:rFonts w:ascii="Calibri" w:eastAsia="Times New Roman" w:hAnsi="Calibri" w:cs="Calibri"/>
                <w:szCs w:val="18"/>
              </w:rPr>
              <w:t>Extended answer</w:t>
            </w:r>
          </w:p>
          <w:p w:rsidR="008E7D33" w:rsidRPr="008E7D33" w:rsidRDefault="008E7D33" w:rsidP="00216D89">
            <w:pPr>
              <w:widowControl w:val="0"/>
              <w:spacing w:line="276" w:lineRule="auto"/>
              <w:jc w:val="left"/>
              <w:rPr>
                <w:rFonts w:ascii="Calibri" w:eastAsia="Times New Roman" w:hAnsi="Calibri" w:cs="Calibri"/>
                <w:b w:val="0"/>
                <w:szCs w:val="18"/>
              </w:rPr>
            </w:pPr>
            <w:r w:rsidRPr="008E7D33">
              <w:rPr>
                <w:rFonts w:ascii="Calibri" w:eastAsia="Times New Roman" w:hAnsi="Calibri" w:cs="Calibri"/>
                <w:b w:val="0"/>
                <w:szCs w:val="18"/>
              </w:rPr>
              <w:t>The question can require a description, discussion, explanation and/or analysis of an economic concept, event or issue, and the application of economic theories and/or models.</w:t>
            </w:r>
          </w:p>
          <w:p w:rsidR="004D2A71" w:rsidRDefault="008E7D33" w:rsidP="00216D89">
            <w:pPr>
              <w:spacing w:line="276" w:lineRule="auto"/>
              <w:jc w:val="left"/>
              <w:rPr>
                <w:rFonts w:ascii="Calibri" w:eastAsia="Times New Roman" w:hAnsi="Calibri" w:cs="Calibri"/>
                <w:b w:val="0"/>
                <w:szCs w:val="18"/>
              </w:rPr>
            </w:pPr>
            <w:r w:rsidRPr="008E7D33">
              <w:rPr>
                <w:rFonts w:ascii="Calibri" w:eastAsia="Times New Roman" w:hAnsi="Calibri" w:cs="Calibri"/>
                <w:b w:val="0"/>
                <w:szCs w:val="18"/>
              </w:rPr>
              <w:t xml:space="preserve">Formats can include: an essay, a sectionalised long answer, </w:t>
            </w:r>
            <w:proofErr w:type="gramStart"/>
            <w:r w:rsidRPr="008E7D33">
              <w:rPr>
                <w:rFonts w:ascii="Calibri" w:eastAsia="Times New Roman" w:hAnsi="Calibri" w:cs="Calibri"/>
                <w:b w:val="0"/>
                <w:szCs w:val="18"/>
              </w:rPr>
              <w:t>an</w:t>
            </w:r>
            <w:proofErr w:type="gramEnd"/>
            <w:r w:rsidRPr="008E7D33">
              <w:rPr>
                <w:rFonts w:ascii="Calibri" w:eastAsia="Times New Roman" w:hAnsi="Calibri" w:cs="Calibri"/>
                <w:b w:val="0"/>
                <w:szCs w:val="18"/>
              </w:rPr>
              <w:t xml:space="preserve"> investigation, a response to a scenario or a case study and can be based on stimulus material.</w:t>
            </w:r>
          </w:p>
          <w:p w:rsidR="00C02704" w:rsidRPr="00042703" w:rsidRDefault="00C02704" w:rsidP="00216D89">
            <w:pPr>
              <w:spacing w:line="276" w:lineRule="auto"/>
              <w:jc w:val="left"/>
              <w:rPr>
                <w:rFonts w:ascii="Calibri" w:hAnsi="Calibri"/>
                <w:b w:val="0"/>
                <w:i/>
              </w:rPr>
            </w:pPr>
            <w:r w:rsidRPr="003A6B04">
              <w:rPr>
                <w:rFonts w:ascii="Calibri" w:eastAsia="Times New Roman" w:hAnsi="Calibri" w:cs="Calibri"/>
                <w:b w:val="0"/>
                <w:szCs w:val="18"/>
              </w:rPr>
              <w:t>At least two extended answer tasks should be completed under test conditions.</w:t>
            </w:r>
          </w:p>
        </w:tc>
        <w:tc>
          <w:tcPr>
            <w:cnfStyle w:val="000010000000" w:firstRow="0" w:lastRow="0" w:firstColumn="0" w:lastColumn="0" w:oddVBand="1" w:evenVBand="0" w:oddHBand="0" w:evenHBand="0" w:firstRowFirstColumn="0" w:firstRowLastColumn="0" w:lastRowFirstColumn="0" w:lastRowLastColumn="0"/>
            <w:tcW w:w="1701" w:type="dxa"/>
          </w:tcPr>
          <w:p w:rsidR="004D2A71" w:rsidRPr="00042703" w:rsidRDefault="008E7D33" w:rsidP="00216D89">
            <w:pPr>
              <w:spacing w:line="276" w:lineRule="auto"/>
              <w:jc w:val="center"/>
              <w:rPr>
                <w:rFonts w:ascii="Calibri" w:hAnsi="Calibri"/>
              </w:rPr>
            </w:pPr>
            <w:r>
              <w:rPr>
                <w:rFonts w:ascii="Calibri" w:hAnsi="Calibri"/>
              </w:rPr>
              <w:t>30%</w:t>
            </w:r>
          </w:p>
        </w:tc>
      </w:tr>
      <w:tr w:rsidR="004D2A71"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8E7D33" w:rsidRPr="008E7D33" w:rsidRDefault="008E7D33" w:rsidP="00216D89">
            <w:pPr>
              <w:spacing w:line="276" w:lineRule="auto"/>
              <w:jc w:val="left"/>
              <w:rPr>
                <w:rFonts w:ascii="Calibri" w:eastAsia="Times New Roman" w:hAnsi="Calibri" w:cs="Calibri"/>
                <w:szCs w:val="18"/>
              </w:rPr>
            </w:pPr>
            <w:r w:rsidRPr="008E7D33">
              <w:rPr>
                <w:rFonts w:ascii="Calibri" w:eastAsia="Times New Roman" w:hAnsi="Calibri" w:cs="Calibri"/>
                <w:szCs w:val="18"/>
              </w:rPr>
              <w:t>Test</w:t>
            </w:r>
          </w:p>
          <w:p w:rsidR="004D2A71" w:rsidRPr="00042703" w:rsidRDefault="008E7D33" w:rsidP="00216D89">
            <w:pPr>
              <w:spacing w:line="276" w:lineRule="auto"/>
              <w:jc w:val="left"/>
              <w:rPr>
                <w:rFonts w:ascii="Calibri" w:hAnsi="Calibri"/>
                <w:b w:val="0"/>
                <w:i/>
              </w:rPr>
            </w:pPr>
            <w:r w:rsidRPr="008E7D33">
              <w:rPr>
                <w:rFonts w:ascii="Calibri" w:eastAsia="Times New Roman" w:hAnsi="Calibri" w:cs="Calibri"/>
                <w:b w:val="0"/>
                <w:szCs w:val="18"/>
              </w:rPr>
              <w:t>Can be conducted at the end of each semester and/or unit.</w:t>
            </w:r>
          </w:p>
        </w:tc>
        <w:tc>
          <w:tcPr>
            <w:cnfStyle w:val="000010000000" w:firstRow="0" w:lastRow="0" w:firstColumn="0" w:lastColumn="0" w:oddVBand="1" w:evenVBand="0" w:oddHBand="0" w:evenHBand="0" w:firstRowFirstColumn="0" w:firstRowLastColumn="0" w:lastRowFirstColumn="0" w:lastRowLastColumn="0"/>
            <w:tcW w:w="1701" w:type="dxa"/>
          </w:tcPr>
          <w:p w:rsidR="004D2A71" w:rsidRPr="00042703" w:rsidRDefault="008E7D33" w:rsidP="00216D89">
            <w:pPr>
              <w:spacing w:line="276" w:lineRule="auto"/>
              <w:jc w:val="center"/>
              <w:rPr>
                <w:rFonts w:ascii="Calibri" w:hAnsi="Calibri"/>
              </w:rPr>
            </w:pPr>
            <w:r>
              <w:rPr>
                <w:rFonts w:ascii="Calibri" w:hAnsi="Calibri"/>
              </w:rPr>
              <w:t>20%</w:t>
            </w:r>
          </w:p>
        </w:tc>
      </w:tr>
    </w:tbl>
    <w:p w:rsidR="00EC47CD" w:rsidRPr="007D70DB" w:rsidRDefault="00EC47CD" w:rsidP="00216D89">
      <w:pPr>
        <w:spacing w:before="240" w:line="276" w:lineRule="auto"/>
        <w:rPr>
          <w:rFonts w:eastAsia="Times New Roman" w:cs="Calibri"/>
          <w:color w:val="000000" w:themeColor="text1"/>
        </w:rPr>
      </w:pPr>
      <w:r w:rsidRPr="007D70DB">
        <w:rPr>
          <w:rFonts w:eastAsia="Times New Roman" w:cs="Calibri"/>
          <w:color w:val="000000" w:themeColor="text1"/>
        </w:rPr>
        <w:t xml:space="preserve">Teachers are required to use the assessment table to develop an assessment outline for the pair of units </w:t>
      </w:r>
      <w:r w:rsidRPr="007D70DB">
        <w:rPr>
          <w:rFonts w:eastAsia="Times New Roman" w:cs="Calibri"/>
          <w:color w:val="000000" w:themeColor="text1"/>
        </w:rPr>
        <w:br/>
        <w:t>(or for a single unit where only one is being studied).</w:t>
      </w:r>
    </w:p>
    <w:p w:rsidR="00EC47CD" w:rsidRPr="007D70DB" w:rsidRDefault="00EC47CD" w:rsidP="00216D89">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rsidR="00EC47CD" w:rsidRPr="00C22E3E" w:rsidRDefault="00EC47CD" w:rsidP="00C22E3E">
      <w:pPr>
        <w:pStyle w:val="ListItem"/>
        <w:numPr>
          <w:ilvl w:val="0"/>
          <w:numId w:val="22"/>
        </w:numPr>
        <w:spacing w:before="60" w:after="60"/>
        <w:ind w:left="357" w:hanging="357"/>
        <w:rPr>
          <w:rFonts w:cs="Arial"/>
          <w:iCs/>
          <w:lang w:val="en-AU"/>
        </w:rPr>
      </w:pPr>
      <w:r w:rsidRPr="00C22E3E">
        <w:rPr>
          <w:rFonts w:cs="Arial"/>
          <w:iCs/>
          <w:lang w:val="en-AU"/>
        </w:rPr>
        <w:t>include a set of assessment tasks</w:t>
      </w:r>
    </w:p>
    <w:p w:rsidR="00EC47CD" w:rsidRPr="00C22E3E" w:rsidRDefault="00EC47CD" w:rsidP="00C22E3E">
      <w:pPr>
        <w:pStyle w:val="ListItem"/>
        <w:numPr>
          <w:ilvl w:val="0"/>
          <w:numId w:val="22"/>
        </w:numPr>
        <w:spacing w:before="60" w:after="60"/>
        <w:ind w:left="357" w:hanging="357"/>
        <w:rPr>
          <w:rFonts w:cs="Arial"/>
          <w:iCs/>
          <w:lang w:val="en-AU"/>
        </w:rPr>
      </w:pPr>
      <w:r w:rsidRPr="00C22E3E">
        <w:rPr>
          <w:rFonts w:cs="Arial"/>
          <w:iCs/>
          <w:lang w:val="en-AU"/>
        </w:rPr>
        <w:t>include a general description of each task</w:t>
      </w:r>
    </w:p>
    <w:p w:rsidR="00EC47CD" w:rsidRPr="00C22E3E" w:rsidRDefault="00EC47CD" w:rsidP="00C22E3E">
      <w:pPr>
        <w:pStyle w:val="ListItem"/>
        <w:numPr>
          <w:ilvl w:val="0"/>
          <w:numId w:val="22"/>
        </w:numPr>
        <w:spacing w:before="60" w:after="60"/>
        <w:ind w:left="357" w:hanging="357"/>
        <w:rPr>
          <w:rFonts w:cs="Arial"/>
          <w:iCs/>
          <w:lang w:val="en-AU"/>
        </w:rPr>
      </w:pPr>
      <w:r w:rsidRPr="00C22E3E">
        <w:rPr>
          <w:rFonts w:cs="Arial"/>
          <w:iCs/>
          <w:lang w:val="en-AU"/>
        </w:rPr>
        <w:t>indicate the unit content to be assessed</w:t>
      </w:r>
    </w:p>
    <w:p w:rsidR="00EC47CD" w:rsidRPr="00C22E3E" w:rsidRDefault="00EC47CD" w:rsidP="00C22E3E">
      <w:pPr>
        <w:pStyle w:val="ListItem"/>
        <w:numPr>
          <w:ilvl w:val="0"/>
          <w:numId w:val="22"/>
        </w:numPr>
        <w:spacing w:before="60" w:after="60"/>
        <w:ind w:left="357" w:hanging="357"/>
        <w:rPr>
          <w:rFonts w:cs="Arial"/>
          <w:iCs/>
          <w:lang w:val="en-AU"/>
        </w:rPr>
      </w:pPr>
      <w:r w:rsidRPr="00C22E3E">
        <w:rPr>
          <w:rFonts w:cs="Arial"/>
          <w:iCs/>
          <w:lang w:val="en-AU"/>
        </w:rPr>
        <w:t>indicate a weighting for each task and each assessment type</w:t>
      </w:r>
    </w:p>
    <w:p w:rsidR="00EC47CD" w:rsidRPr="00C22E3E" w:rsidRDefault="00EC47CD" w:rsidP="00C22E3E">
      <w:pPr>
        <w:pStyle w:val="ListItem"/>
        <w:numPr>
          <w:ilvl w:val="0"/>
          <w:numId w:val="22"/>
        </w:numPr>
        <w:spacing w:before="60" w:after="60"/>
        <w:ind w:left="357" w:hanging="357"/>
        <w:rPr>
          <w:rFonts w:cs="Arial"/>
          <w:iCs/>
          <w:lang w:val="en-AU"/>
        </w:rPr>
      </w:pPr>
      <w:proofErr w:type="gramStart"/>
      <w:r w:rsidRPr="00C22E3E">
        <w:rPr>
          <w:rFonts w:cs="Arial"/>
          <w:iCs/>
          <w:lang w:val="en-AU"/>
        </w:rPr>
        <w:t>include</w:t>
      </w:r>
      <w:proofErr w:type="gramEnd"/>
      <w:r w:rsidRPr="00C22E3E">
        <w:rPr>
          <w:rFonts w:cs="Arial"/>
          <w:iCs/>
          <w:lang w:val="en-AU"/>
        </w:rPr>
        <w:t xml:space="preserve"> the approximate timing of each task (for example, the week the task is conducted, or the issue and submission dates for an extended task).</w:t>
      </w:r>
    </w:p>
    <w:p w:rsidR="00EC47CD" w:rsidRPr="007D70DB" w:rsidRDefault="00EC47CD" w:rsidP="00216D89">
      <w:pPr>
        <w:spacing w:before="120" w:line="276" w:lineRule="auto"/>
        <w:rPr>
          <w:rFonts w:eastAsia="Times New Roman" w:cs="Calibri"/>
          <w:color w:val="000000" w:themeColor="text1"/>
        </w:rPr>
      </w:pPr>
      <w:r w:rsidRPr="007D70DB">
        <w:rPr>
          <w:rFonts w:eastAsia="Times New Roman" w:cs="Calibri"/>
          <w:color w:val="000000" w:themeColor="text1"/>
        </w:rPr>
        <w:lastRenderedPageBreak/>
        <w:t>In the assessment outline for the pair of units, each assessment type must be included at least twice. In the assessment outline where a single unit is being studied, each assessment type must be included at least once.</w:t>
      </w:r>
    </w:p>
    <w:p w:rsidR="00EC47CD" w:rsidRPr="007D70DB" w:rsidRDefault="00EC47CD" w:rsidP="00216D89">
      <w:pPr>
        <w:pStyle w:val="Paragraph"/>
        <w:rPr>
          <w:rFonts w:cs="Times New Roman"/>
          <w:color w:val="000000" w:themeColor="text1"/>
        </w:rPr>
      </w:pPr>
      <w:r w:rsidRPr="007D70DB">
        <w:rPr>
          <w:rFonts w:cs="Times New Roman"/>
          <w:color w:val="000000" w:themeColor="text1"/>
        </w:rPr>
        <w:t>The set of assessment tasks must provide a representative sampling of the</w:t>
      </w:r>
      <w:r w:rsidR="00374C77">
        <w:rPr>
          <w:rFonts w:cs="Times New Roman"/>
          <w:color w:val="000000" w:themeColor="text1"/>
        </w:rPr>
        <w:t xml:space="preserve"> content for Unit 1 and Unit 2.</w:t>
      </w:r>
    </w:p>
    <w:p w:rsidR="004D2A71" w:rsidRPr="00042703" w:rsidRDefault="00EC47CD" w:rsidP="00216D89">
      <w:pPr>
        <w:spacing w:before="120" w:line="276" w:lineRule="auto"/>
        <w:rPr>
          <w:rFonts w:eastAsiaTheme="majorEastAsia" w:cstheme="majorBidi"/>
          <w:b/>
          <w:bCs/>
          <w:color w:val="595959" w:themeColor="text1" w:themeTint="A6"/>
          <w:sz w:val="32"/>
          <w:szCs w:val="26"/>
        </w:rPr>
      </w:pPr>
      <w:r w:rsidRPr="007D70DB">
        <w:rPr>
          <w:rFonts w:eastAsia="Times New Roman" w:cs="Calibri"/>
          <w:color w:val="000000" w:themeColor="text1"/>
        </w:rPr>
        <w:t>Assessment tasks not administered under test/controlled conditions require appropriate validation/authentication processes.</w:t>
      </w:r>
      <w:r>
        <w:rPr>
          <w:rFonts w:eastAsia="Times New Roman" w:cs="Calibri"/>
          <w:color w:val="000000" w:themeColor="text1"/>
        </w:rPr>
        <w:t xml:space="preserve"> </w:t>
      </w:r>
      <w:r w:rsidR="00B33865">
        <w:t>For example, student performance for an investigation could be validated by a set of short answer questions which is completed in class after the final presentation is submitted.</w:t>
      </w:r>
      <w:bookmarkStart w:id="42" w:name="_Toc359503792"/>
    </w:p>
    <w:p w:rsidR="00C10457" w:rsidRPr="00042703" w:rsidRDefault="00C10457" w:rsidP="00216D89">
      <w:pPr>
        <w:pStyle w:val="Heading2"/>
        <w:spacing w:line="276" w:lineRule="auto"/>
      </w:pPr>
      <w:bookmarkStart w:id="43" w:name="_Toc381793608"/>
      <w:r w:rsidRPr="00042703">
        <w:t>Grading</w:t>
      </w:r>
      <w:bookmarkEnd w:id="42"/>
      <w:bookmarkEnd w:id="43"/>
    </w:p>
    <w:p w:rsidR="004D2A71" w:rsidRPr="00042703" w:rsidRDefault="004D2A71" w:rsidP="00216D89">
      <w:pPr>
        <w:spacing w:after="200" w:line="276" w:lineRule="auto"/>
      </w:pPr>
      <w:r w:rsidRPr="00042703">
        <w:t>Schools report student achievement in terms of the following grades:</w:t>
      </w:r>
    </w:p>
    <w:tbl>
      <w:tblPr>
        <w:tblStyle w:val="LightList-Accent4"/>
        <w:tblW w:w="0" w:type="auto"/>
        <w:tblInd w:w="-10" w:type="dxa"/>
        <w:tblLook w:val="00A0" w:firstRow="1" w:lastRow="0" w:firstColumn="1" w:lastColumn="0" w:noHBand="0" w:noVBand="0"/>
      </w:tblPr>
      <w:tblGrid>
        <w:gridCol w:w="722"/>
        <w:gridCol w:w="2561"/>
      </w:tblGrid>
      <w:tr w:rsidR="00C10457" w:rsidRPr="00042703" w:rsidTr="00BB7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216D89">
            <w:pPr>
              <w:spacing w:line="276" w:lineRule="auto"/>
              <w:rPr>
                <w:rFonts w:ascii="Calibri" w:hAnsi="Calibri"/>
                <w:szCs w:val="20"/>
              </w:rPr>
            </w:pPr>
            <w:r w:rsidRPr="00042703">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rsidR="00C10457" w:rsidRPr="00042703" w:rsidRDefault="00C10457" w:rsidP="00216D89">
            <w:pPr>
              <w:spacing w:line="276" w:lineRule="auto"/>
              <w:rPr>
                <w:rFonts w:ascii="Calibri" w:hAnsi="Calibri"/>
                <w:szCs w:val="20"/>
              </w:rPr>
            </w:pPr>
            <w:r w:rsidRPr="00042703">
              <w:rPr>
                <w:rFonts w:ascii="Calibri" w:hAnsi="Calibri"/>
                <w:szCs w:val="20"/>
              </w:rPr>
              <w:t>Interpretation</w:t>
            </w:r>
          </w:p>
        </w:tc>
      </w:tr>
      <w:tr w:rsidR="00C10457" w:rsidRPr="00042703" w:rsidTr="00BB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Excellent achievement</w:t>
            </w:r>
          </w:p>
        </w:tc>
      </w:tr>
      <w:tr w:rsidR="00C10457" w:rsidRPr="00042703" w:rsidTr="00BB7C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High achievement</w:t>
            </w:r>
          </w:p>
        </w:tc>
      </w:tr>
      <w:tr w:rsidR="00C10457" w:rsidRPr="00042703" w:rsidTr="00BB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Satisfactory achievement</w:t>
            </w:r>
          </w:p>
        </w:tc>
      </w:tr>
      <w:tr w:rsidR="00C10457" w:rsidRPr="00042703" w:rsidTr="00BB7C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Limited achievement</w:t>
            </w:r>
          </w:p>
        </w:tc>
      </w:tr>
      <w:tr w:rsidR="00C10457" w:rsidRPr="00042703" w:rsidTr="00BB7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216D89">
            <w:pPr>
              <w:spacing w:line="276" w:lineRule="auto"/>
              <w:rPr>
                <w:rFonts w:ascii="Calibri" w:hAnsi="Calibri"/>
                <w:sz w:val="20"/>
                <w:szCs w:val="20"/>
              </w:rPr>
            </w:pPr>
            <w:r w:rsidRPr="00042703">
              <w:rPr>
                <w:rFonts w:ascii="Calibri" w:hAnsi="Calibri"/>
                <w:sz w:val="20"/>
                <w:szCs w:val="20"/>
              </w:rPr>
              <w:t>Very low achievement</w:t>
            </w:r>
          </w:p>
        </w:tc>
      </w:tr>
    </w:tbl>
    <w:p w:rsidR="008A0C3D" w:rsidRPr="00BD43D7" w:rsidRDefault="00745E9B" w:rsidP="00216D89">
      <w:pPr>
        <w:spacing w:before="120" w:line="276" w:lineRule="auto"/>
        <w:rPr>
          <w:rFonts w:cs="Calibri"/>
        </w:rPr>
      </w:pPr>
      <w:r w:rsidRPr="00042703">
        <w:t xml:space="preserve">The teacher </w:t>
      </w:r>
      <w:r w:rsidR="00BD43D7">
        <w:rPr>
          <w:rFonts w:cs="Calibri"/>
        </w:rPr>
        <w:t>p</w:t>
      </w:r>
      <w:r w:rsidR="00BD43D7" w:rsidRPr="000702A2">
        <w:rPr>
          <w:rFonts w:cs="Calibri"/>
        </w:rPr>
        <w:t xml:space="preserve">repares </w:t>
      </w:r>
      <w:r w:rsidR="00BD43D7">
        <w:rPr>
          <w:rFonts w:cs="Calibri"/>
        </w:rPr>
        <w:t xml:space="preserve">a ranked list and </w:t>
      </w:r>
      <w:r w:rsidRPr="00042703">
        <w:t>assigns the student a grade for the</w:t>
      </w:r>
      <w:r w:rsidR="004D2A71" w:rsidRPr="00042703">
        <w:t xml:space="preserve"> pair of units</w:t>
      </w:r>
      <w:r w:rsidR="00D46EA0" w:rsidRPr="00042703">
        <w:t xml:space="preserve"> (or for </w:t>
      </w:r>
      <w:r w:rsidR="00EE1227">
        <w:t>a</w:t>
      </w:r>
      <w:r w:rsidR="00D46EA0" w:rsidRPr="00042703">
        <w:t xml:space="preserve"> unit where only one unit is being studied)</w:t>
      </w:r>
      <w:r w:rsidR="004D2A71" w:rsidRPr="00042703">
        <w:t xml:space="preserve">. </w:t>
      </w:r>
      <w:r w:rsidRPr="00042703">
        <w:t>The</w:t>
      </w:r>
      <w:r w:rsidR="00A44A86" w:rsidRPr="00042703">
        <w:t xml:space="preserve"> grade is based on the student’s overall performance as judged by reference to a set of pre-determined standards. These standards are defined by grade descriptions and annotated work samples. </w:t>
      </w:r>
      <w:r w:rsidR="008A0C3D" w:rsidRPr="00042703">
        <w:rPr>
          <w:rFonts w:cs="Times New Roman"/>
        </w:rPr>
        <w:t xml:space="preserve">The grade descriptions for </w:t>
      </w:r>
      <w:r w:rsidR="002C234E">
        <w:rPr>
          <w:rFonts w:cs="Times New Roman"/>
        </w:rPr>
        <w:t xml:space="preserve">the </w:t>
      </w:r>
      <w:r w:rsidR="00862491" w:rsidRPr="00BE36BD">
        <w:rPr>
          <w:rStyle w:val="ParagraphChar"/>
        </w:rPr>
        <w:t>Economics</w:t>
      </w:r>
      <w:r w:rsidR="00862491">
        <w:rPr>
          <w:rFonts w:ascii="Arial" w:eastAsia="Times New Roman" w:hAnsi="Arial" w:cs="Arial"/>
          <w:sz w:val="20"/>
          <w:szCs w:val="24"/>
        </w:rPr>
        <w:t xml:space="preserve"> </w:t>
      </w:r>
      <w:r w:rsidR="00862491" w:rsidRPr="00042703">
        <w:t xml:space="preserve">General Year 11 </w:t>
      </w:r>
      <w:r w:rsidR="006E4008" w:rsidRPr="006E4008">
        <w:rPr>
          <w:rFonts w:cs="Times New Roman"/>
        </w:rPr>
        <w:t xml:space="preserve">syllabus </w:t>
      </w:r>
      <w:r w:rsidR="008A0C3D" w:rsidRPr="006E4008">
        <w:rPr>
          <w:rFonts w:cs="Times New Roman"/>
        </w:rPr>
        <w:t xml:space="preserve">are </w:t>
      </w:r>
      <w:r w:rsidR="008A0C3D" w:rsidRPr="00042703">
        <w:rPr>
          <w:rFonts w:cs="Times New Roman"/>
        </w:rPr>
        <w:t xml:space="preserve">provided </w:t>
      </w:r>
      <w:r w:rsidR="00852D24">
        <w:rPr>
          <w:rFonts w:cs="Times New Roman"/>
        </w:rPr>
        <w:t>in Appendix</w:t>
      </w:r>
      <w:r w:rsidR="0070206B">
        <w:rPr>
          <w:rFonts w:cs="Times New Roman"/>
        </w:rPr>
        <w:t xml:space="preserve"> 1</w:t>
      </w:r>
      <w:r w:rsidR="008A0C3D" w:rsidRPr="00042703">
        <w:rPr>
          <w:rFonts w:cs="Times New Roman"/>
        </w:rPr>
        <w:t xml:space="preserve">. They can also be accessed, together with annotated work samples, through the Guide to Grades link on the course page of the Authority website at </w:t>
      </w:r>
      <w:hyperlink r:id="rId16" w:history="1">
        <w:r w:rsidR="008A0C3D" w:rsidRPr="00042703">
          <w:rPr>
            <w:rFonts w:cs="Times New Roman"/>
            <w:color w:val="46328C"/>
          </w:rPr>
          <w:t>www.scsa.wa.edu.au</w:t>
        </w:r>
      </w:hyperlink>
    </w:p>
    <w:p w:rsidR="00A44A86" w:rsidRPr="00042703" w:rsidRDefault="00A44A86" w:rsidP="00216D89">
      <w:pPr>
        <w:spacing w:before="120" w:line="276" w:lineRule="auto"/>
      </w:pPr>
      <w:r w:rsidRPr="00042703">
        <w:t>To be assigned a grade, a student must have had the opportunity to complete the education program</w:t>
      </w:r>
      <w:r w:rsidR="00346E25">
        <w:t>,</w:t>
      </w:r>
      <w:r w:rsidRPr="00042703">
        <w:t xml:space="preserve"> including the assessment program (unless the school accepts that there are exceptional and justifiable circumstances).</w:t>
      </w:r>
    </w:p>
    <w:p w:rsidR="00C10457" w:rsidRPr="00D10880" w:rsidRDefault="00A44A86" w:rsidP="00D10880">
      <w:pPr>
        <w:spacing w:before="120" w:line="276" w:lineRule="auto"/>
      </w:pPr>
      <w:r w:rsidRPr="00042703">
        <w:t>Refer to the WACE</w:t>
      </w:r>
      <w:r w:rsidR="00BD43D7">
        <w:t xml:space="preserve"> Manual for further information</w:t>
      </w:r>
      <w:r w:rsidR="00BD43D7" w:rsidRPr="00BD43D7">
        <w:t xml:space="preserve"> </w:t>
      </w:r>
      <w:r w:rsidR="00BD43D7">
        <w:t>about the use of a ranked list in the process of assigning grades.</w:t>
      </w:r>
      <w:r w:rsidR="00C10457" w:rsidRPr="00042703">
        <w:br w:type="page"/>
      </w:r>
    </w:p>
    <w:p w:rsidR="00C10457" w:rsidRPr="00852D24" w:rsidRDefault="00852D24" w:rsidP="000539AC">
      <w:pPr>
        <w:pStyle w:val="Heading1"/>
        <w:spacing w:line="276" w:lineRule="auto"/>
        <w:rPr>
          <w:rStyle w:val="Heading1Char"/>
          <w:b/>
          <w:bCs/>
        </w:rPr>
      </w:pPr>
      <w:bookmarkStart w:id="44" w:name="_Toc381793609"/>
      <w:r>
        <w:rPr>
          <w:rStyle w:val="Heading1Char"/>
          <w:b/>
        </w:rPr>
        <w:lastRenderedPageBreak/>
        <w:t>Appendix</w:t>
      </w:r>
      <w:r w:rsidR="0070206B">
        <w:rPr>
          <w:rStyle w:val="Heading1Char"/>
          <w:b/>
        </w:rPr>
        <w:t xml:space="preserve"> 1</w:t>
      </w:r>
      <w:r>
        <w:rPr>
          <w:rStyle w:val="Heading1Char"/>
          <w:b/>
        </w:rPr>
        <w:t xml:space="preserve"> – Grade descriptions </w:t>
      </w:r>
      <w:r w:rsidR="00C10457" w:rsidRPr="00852D24">
        <w:rPr>
          <w:rStyle w:val="Heading1Char"/>
          <w:b/>
          <w:bCs/>
        </w:rPr>
        <w:t>Year 11</w:t>
      </w:r>
      <w:bookmarkEnd w:id="44"/>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10457" w:rsidRPr="00042703" w:rsidTr="00C8333A">
        <w:trPr>
          <w:trHeight w:val="340"/>
        </w:trPr>
        <w:tc>
          <w:tcPr>
            <w:tcW w:w="993" w:type="dxa"/>
            <w:vMerge w:val="restart"/>
            <w:tcBorders>
              <w:top w:val="single" w:sz="4" w:space="0" w:color="9688BE"/>
              <w:left w:val="single" w:sz="4" w:space="0" w:color="9688BE"/>
            </w:tcBorders>
            <w:shd w:val="clear" w:color="auto" w:fill="9688BE"/>
            <w:vAlign w:val="center"/>
          </w:tcPr>
          <w:p w:rsidR="00C10457" w:rsidRPr="00346E25" w:rsidRDefault="00C10457" w:rsidP="000539AC">
            <w:pPr>
              <w:spacing w:after="0" w:line="276" w:lineRule="auto"/>
              <w:jc w:val="center"/>
              <w:rPr>
                <w:rFonts w:cs="Arial"/>
                <w:b/>
                <w:color w:val="FFFFFF" w:themeColor="background1"/>
                <w:sz w:val="40"/>
                <w:szCs w:val="40"/>
              </w:rPr>
            </w:pPr>
            <w:r w:rsidRPr="00852D24">
              <w:rPr>
                <w:rFonts w:cs="Arial"/>
                <w:b/>
                <w:color w:val="FFFFFF" w:themeColor="background1"/>
                <w:sz w:val="40"/>
                <w:szCs w:val="40"/>
              </w:rPr>
              <w:t>A</w:t>
            </w:r>
          </w:p>
        </w:tc>
        <w:tc>
          <w:tcPr>
            <w:tcW w:w="8906" w:type="dxa"/>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Explains economic concepts and identifies simple relationships between economic concepts.</w:t>
            </w:r>
          </w:p>
        </w:tc>
      </w:tr>
      <w:tr w:rsidR="00C10457" w:rsidRPr="00042703" w:rsidTr="00C8333A">
        <w:trPr>
          <w:trHeight w:val="340"/>
        </w:trPr>
        <w:tc>
          <w:tcPr>
            <w:tcW w:w="993" w:type="dxa"/>
            <w:vMerge/>
            <w:tcBorders>
              <w:left w:val="single" w:sz="4" w:space="0" w:color="9688BE"/>
            </w:tcBorders>
            <w:shd w:val="clear" w:color="auto" w:fill="9688BE"/>
          </w:tcPr>
          <w:p w:rsidR="00C10457" w:rsidRPr="00042703" w:rsidRDefault="00C10457" w:rsidP="000539AC">
            <w:pPr>
              <w:spacing w:line="276" w:lineRule="auto"/>
              <w:rPr>
                <w:rFonts w:cs="Arial"/>
                <w:color w:val="000000"/>
                <w:sz w:val="16"/>
                <w:szCs w:val="16"/>
              </w:rPr>
            </w:pPr>
          </w:p>
        </w:tc>
        <w:tc>
          <w:tcPr>
            <w:tcW w:w="8906" w:type="dxa"/>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Performs accurate calculations and interprets economic data correctly.</w:t>
            </w:r>
          </w:p>
        </w:tc>
      </w:tr>
      <w:tr w:rsidR="00C10457" w:rsidRPr="00042703" w:rsidTr="00C8333A">
        <w:trPr>
          <w:trHeight w:val="340"/>
        </w:trPr>
        <w:tc>
          <w:tcPr>
            <w:tcW w:w="993" w:type="dxa"/>
            <w:vMerge/>
            <w:tcBorders>
              <w:left w:val="single" w:sz="4" w:space="0" w:color="9688BE"/>
            </w:tcBorders>
            <w:shd w:val="clear" w:color="auto" w:fill="9688BE"/>
          </w:tcPr>
          <w:p w:rsidR="00C10457" w:rsidRPr="00042703" w:rsidRDefault="00C10457" w:rsidP="000539AC">
            <w:pPr>
              <w:spacing w:line="276" w:lineRule="auto"/>
              <w:rPr>
                <w:rFonts w:cs="Arial"/>
                <w:color w:val="000000"/>
                <w:sz w:val="16"/>
                <w:szCs w:val="16"/>
              </w:rPr>
            </w:pPr>
          </w:p>
        </w:tc>
        <w:tc>
          <w:tcPr>
            <w:tcW w:w="8906" w:type="dxa"/>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Uses and applies economic concepts and data to support responses and is able to link theory to familiar examples</w:t>
            </w:r>
            <w:r w:rsidR="008B7F1D">
              <w:rPr>
                <w:rFonts w:eastAsia="Times New Roman" w:cs="Calibri"/>
                <w:sz w:val="20"/>
                <w:szCs w:val="20"/>
              </w:rPr>
              <w:t>.</w:t>
            </w:r>
          </w:p>
        </w:tc>
      </w:tr>
      <w:tr w:rsidR="00C10457" w:rsidRPr="00042703" w:rsidTr="00C8333A">
        <w:trPr>
          <w:trHeight w:val="340"/>
        </w:trPr>
        <w:tc>
          <w:tcPr>
            <w:tcW w:w="993" w:type="dxa"/>
            <w:vMerge/>
            <w:tcBorders>
              <w:left w:val="single" w:sz="4" w:space="0" w:color="9688BE"/>
              <w:bottom w:val="single" w:sz="4" w:space="0" w:color="9688BE"/>
            </w:tcBorders>
            <w:shd w:val="clear" w:color="auto" w:fill="9688BE"/>
          </w:tcPr>
          <w:p w:rsidR="00C10457" w:rsidRPr="00042703" w:rsidRDefault="00C10457" w:rsidP="000539AC">
            <w:pPr>
              <w:spacing w:line="276" w:lineRule="auto"/>
              <w:rPr>
                <w:rFonts w:cs="Arial"/>
                <w:color w:val="000000"/>
                <w:sz w:val="16"/>
                <w:szCs w:val="16"/>
              </w:rPr>
            </w:pPr>
          </w:p>
        </w:tc>
        <w:tc>
          <w:tcPr>
            <w:tcW w:w="8906" w:type="dxa"/>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Communicates in a logical manner, incorporating a clear structure, using appropriate economic terminology and data.</w:t>
            </w:r>
          </w:p>
        </w:tc>
      </w:tr>
    </w:tbl>
    <w:p w:rsidR="00C10457" w:rsidRPr="00215818" w:rsidRDefault="00C10457" w:rsidP="000539AC">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10457" w:rsidRPr="00042703" w:rsidTr="00C8333A">
        <w:trPr>
          <w:trHeight w:val="340"/>
        </w:trPr>
        <w:tc>
          <w:tcPr>
            <w:tcW w:w="993" w:type="dxa"/>
            <w:vMerge w:val="restart"/>
            <w:tcBorders>
              <w:top w:val="single" w:sz="4" w:space="0" w:color="9688BE"/>
              <w:left w:val="single" w:sz="4" w:space="0" w:color="9688BE"/>
              <w:right w:val="single" w:sz="4" w:space="0" w:color="9688BE"/>
            </w:tcBorders>
            <w:shd w:val="clear" w:color="auto" w:fill="9688BE" w:themeFill="accent4"/>
            <w:vAlign w:val="center"/>
          </w:tcPr>
          <w:p w:rsidR="00C10457" w:rsidRPr="00852D24" w:rsidRDefault="00C10457" w:rsidP="000539AC">
            <w:pPr>
              <w:spacing w:after="0" w:line="276" w:lineRule="auto"/>
              <w:jc w:val="center"/>
              <w:rPr>
                <w:rFonts w:cs="Arial"/>
                <w:b/>
                <w:color w:val="FFFFFF" w:themeColor="background1"/>
                <w:sz w:val="40"/>
                <w:szCs w:val="40"/>
              </w:rPr>
            </w:pPr>
            <w:r w:rsidRPr="00852D24">
              <w:rPr>
                <w:rFonts w:cs="Arial"/>
                <w:b/>
                <w:color w:val="FFFFFF" w:themeColor="background1"/>
                <w:sz w:val="40"/>
                <w:szCs w:val="40"/>
              </w:rPr>
              <w:t>B</w:t>
            </w:r>
          </w:p>
        </w:tc>
        <w:tc>
          <w:tcPr>
            <w:tcW w:w="8906" w:type="dxa"/>
            <w:tcBorders>
              <w:left w:val="single" w:sz="4" w:space="0" w:color="9688BE"/>
            </w:tcBorders>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Defines and describes most economic concepts and identifies some of the simple relationships between economic concepts.</w:t>
            </w:r>
          </w:p>
        </w:tc>
      </w:tr>
      <w:tr w:rsidR="00C10457" w:rsidRPr="00042703" w:rsidTr="00C8333A">
        <w:trPr>
          <w:trHeight w:val="340"/>
        </w:trPr>
        <w:tc>
          <w:tcPr>
            <w:tcW w:w="993" w:type="dxa"/>
            <w:vMerge/>
            <w:tcBorders>
              <w:left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Performs mostly accurate calculations and interprets some economic data correctly.</w:t>
            </w:r>
          </w:p>
        </w:tc>
      </w:tr>
      <w:tr w:rsidR="00C10457" w:rsidRPr="00042703" w:rsidTr="00C8333A">
        <w:trPr>
          <w:trHeight w:val="340"/>
        </w:trPr>
        <w:tc>
          <w:tcPr>
            <w:tcW w:w="993" w:type="dxa"/>
            <w:vMerge/>
            <w:tcBorders>
              <w:left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Describes economic concepts and uses simple data to support responses and is able to link theory to familiar examples.</w:t>
            </w:r>
          </w:p>
        </w:tc>
      </w:tr>
      <w:tr w:rsidR="00C10457" w:rsidRPr="00042703" w:rsidTr="00C8333A">
        <w:trPr>
          <w:trHeight w:val="340"/>
        </w:trPr>
        <w:tc>
          <w:tcPr>
            <w:tcW w:w="993" w:type="dxa"/>
            <w:vMerge/>
            <w:tcBorders>
              <w:left w:val="single" w:sz="4" w:space="0" w:color="9688BE"/>
              <w:bottom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Communicates in a clear and structured manner</w:t>
            </w:r>
            <w:r w:rsidR="00F36DD0">
              <w:rPr>
                <w:rFonts w:eastAsia="Times New Roman" w:cs="Calibri"/>
                <w:sz w:val="20"/>
                <w:szCs w:val="20"/>
              </w:rPr>
              <w:t>,</w:t>
            </w:r>
            <w:r w:rsidRPr="00852D24">
              <w:rPr>
                <w:rFonts w:eastAsia="Times New Roman" w:cs="Calibri"/>
                <w:sz w:val="20"/>
                <w:szCs w:val="20"/>
              </w:rPr>
              <w:t xml:space="preserve"> using mostly appropriate economic terminology and data.</w:t>
            </w:r>
          </w:p>
        </w:tc>
      </w:tr>
    </w:tbl>
    <w:p w:rsidR="00C10457" w:rsidRPr="00215818" w:rsidRDefault="00C10457" w:rsidP="000539AC">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10457" w:rsidRPr="00042703" w:rsidTr="00C8333A">
        <w:trPr>
          <w:trHeight w:val="340"/>
        </w:trPr>
        <w:tc>
          <w:tcPr>
            <w:tcW w:w="993" w:type="dxa"/>
            <w:vMerge w:val="restart"/>
            <w:tcBorders>
              <w:top w:val="single" w:sz="4" w:space="0" w:color="9688BE"/>
              <w:left w:val="single" w:sz="4" w:space="0" w:color="9688BE"/>
              <w:right w:val="single" w:sz="4" w:space="0" w:color="9688BE"/>
            </w:tcBorders>
            <w:shd w:val="clear" w:color="auto" w:fill="9688BE" w:themeFill="accent4"/>
            <w:vAlign w:val="center"/>
          </w:tcPr>
          <w:p w:rsidR="00C10457" w:rsidRPr="00852D24" w:rsidRDefault="00C10457" w:rsidP="000539AC">
            <w:pPr>
              <w:spacing w:after="0" w:line="276" w:lineRule="auto"/>
              <w:jc w:val="center"/>
              <w:rPr>
                <w:rFonts w:cs="Arial"/>
                <w:b/>
                <w:color w:val="FFFFFF" w:themeColor="background1"/>
                <w:sz w:val="40"/>
                <w:szCs w:val="40"/>
              </w:rPr>
            </w:pPr>
            <w:r w:rsidRPr="00852D24">
              <w:rPr>
                <w:rFonts w:cs="Arial"/>
                <w:b/>
                <w:color w:val="FFFFFF" w:themeColor="background1"/>
                <w:sz w:val="40"/>
                <w:szCs w:val="40"/>
              </w:rPr>
              <w:t>C</w:t>
            </w:r>
          </w:p>
        </w:tc>
        <w:tc>
          <w:tcPr>
            <w:tcW w:w="8906" w:type="dxa"/>
            <w:tcBorders>
              <w:left w:val="single" w:sz="4" w:space="0" w:color="9688BE"/>
            </w:tcBorders>
            <w:vAlign w:val="center"/>
          </w:tcPr>
          <w:p w:rsidR="00C10457" w:rsidRPr="00852D24" w:rsidRDefault="00852D24" w:rsidP="00C8333A">
            <w:pPr>
              <w:spacing w:after="0" w:line="276" w:lineRule="auto"/>
              <w:rPr>
                <w:rFonts w:cs="Calibri"/>
                <w:color w:val="000000"/>
                <w:sz w:val="20"/>
                <w:szCs w:val="20"/>
              </w:rPr>
            </w:pPr>
            <w:r w:rsidRPr="00852D24">
              <w:rPr>
                <w:rFonts w:eastAsia="Times New Roman" w:cs="Calibri"/>
                <w:sz w:val="20"/>
                <w:szCs w:val="20"/>
              </w:rPr>
              <w:t>Defines some economic concepts and makes a few simple links between economic concepts.</w:t>
            </w:r>
          </w:p>
        </w:tc>
      </w:tr>
      <w:tr w:rsidR="00C10457" w:rsidRPr="00042703" w:rsidTr="00C8333A">
        <w:trPr>
          <w:trHeight w:val="340"/>
        </w:trPr>
        <w:tc>
          <w:tcPr>
            <w:tcW w:w="993" w:type="dxa"/>
            <w:vMerge/>
            <w:tcBorders>
              <w:left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color w:val="000000"/>
                <w:sz w:val="20"/>
                <w:szCs w:val="20"/>
              </w:rPr>
            </w:pPr>
            <w:r w:rsidRPr="00852D24">
              <w:rPr>
                <w:rFonts w:eastAsia="Times New Roman" w:cs="Calibri"/>
                <w:sz w:val="20"/>
                <w:szCs w:val="20"/>
              </w:rPr>
              <w:t>Performs simple calculations with limited accuracy.</w:t>
            </w:r>
          </w:p>
        </w:tc>
      </w:tr>
      <w:tr w:rsidR="00C10457" w:rsidRPr="00042703" w:rsidTr="00C8333A">
        <w:trPr>
          <w:trHeight w:val="340"/>
        </w:trPr>
        <w:tc>
          <w:tcPr>
            <w:tcW w:w="993" w:type="dxa"/>
            <w:vMerge/>
            <w:tcBorders>
              <w:left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color w:val="000000"/>
                <w:sz w:val="20"/>
                <w:szCs w:val="20"/>
              </w:rPr>
            </w:pPr>
            <w:r w:rsidRPr="00852D24">
              <w:rPr>
                <w:rFonts w:eastAsia="Times New Roman" w:cs="Calibri"/>
                <w:sz w:val="20"/>
                <w:szCs w:val="20"/>
              </w:rPr>
              <w:t>Describes some economic concepts, and uses limited data in an attempt to support responses.</w:t>
            </w:r>
          </w:p>
        </w:tc>
      </w:tr>
      <w:tr w:rsidR="00C10457" w:rsidRPr="00042703" w:rsidTr="00C8333A">
        <w:trPr>
          <w:trHeight w:val="340"/>
        </w:trPr>
        <w:tc>
          <w:tcPr>
            <w:tcW w:w="993" w:type="dxa"/>
            <w:vMerge/>
            <w:tcBorders>
              <w:left w:val="single" w:sz="4" w:space="0" w:color="9688BE"/>
              <w:bottom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color w:val="000000"/>
                <w:sz w:val="20"/>
                <w:szCs w:val="20"/>
              </w:rPr>
            </w:pPr>
            <w:r w:rsidRPr="00852D24">
              <w:rPr>
                <w:rFonts w:eastAsia="Times New Roman" w:cs="Calibri"/>
                <w:sz w:val="20"/>
                <w:szCs w:val="20"/>
              </w:rPr>
              <w:t>Communicates in a general manner, using limited economic terminology and data.</w:t>
            </w:r>
          </w:p>
        </w:tc>
      </w:tr>
    </w:tbl>
    <w:p w:rsidR="00C10457" w:rsidRPr="00215818" w:rsidRDefault="00C10457" w:rsidP="000539AC">
      <w:pPr>
        <w:spacing w:after="0" w:line="276" w:lineRule="auto"/>
        <w:rPr>
          <w:sz w:val="18"/>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10457" w:rsidRPr="00042703" w:rsidTr="00C8333A">
        <w:trPr>
          <w:trHeight w:val="340"/>
        </w:trPr>
        <w:tc>
          <w:tcPr>
            <w:tcW w:w="993" w:type="dxa"/>
            <w:vMerge w:val="restart"/>
            <w:tcBorders>
              <w:top w:val="single" w:sz="4" w:space="0" w:color="9688BE"/>
              <w:left w:val="single" w:sz="4" w:space="0" w:color="9688BE"/>
              <w:right w:val="single" w:sz="4" w:space="0" w:color="9688BE"/>
            </w:tcBorders>
            <w:shd w:val="clear" w:color="auto" w:fill="9688BE" w:themeFill="accent4"/>
            <w:vAlign w:val="center"/>
          </w:tcPr>
          <w:p w:rsidR="00C10457" w:rsidRPr="00852D24" w:rsidRDefault="00C10457" w:rsidP="000539AC">
            <w:pPr>
              <w:spacing w:after="0" w:line="276" w:lineRule="auto"/>
              <w:jc w:val="center"/>
              <w:rPr>
                <w:rFonts w:cs="Arial"/>
                <w:b/>
                <w:color w:val="FFFFFF" w:themeColor="background1"/>
                <w:sz w:val="40"/>
                <w:szCs w:val="40"/>
              </w:rPr>
            </w:pPr>
            <w:r w:rsidRPr="00852D24">
              <w:rPr>
                <w:rFonts w:cs="Arial"/>
                <w:b/>
                <w:color w:val="FFFFFF" w:themeColor="background1"/>
                <w:sz w:val="40"/>
                <w:szCs w:val="40"/>
              </w:rPr>
              <w:t>D</w:t>
            </w:r>
          </w:p>
        </w:tc>
        <w:tc>
          <w:tcPr>
            <w:tcW w:w="8906" w:type="dxa"/>
            <w:tcBorders>
              <w:left w:val="single" w:sz="4" w:space="0" w:color="9688BE"/>
            </w:tcBorders>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Provides limited statements about economic concepts.</w:t>
            </w:r>
          </w:p>
        </w:tc>
      </w:tr>
      <w:tr w:rsidR="00C10457" w:rsidRPr="00042703" w:rsidTr="00C8333A">
        <w:trPr>
          <w:trHeight w:val="340"/>
        </w:trPr>
        <w:tc>
          <w:tcPr>
            <w:tcW w:w="993" w:type="dxa"/>
            <w:vMerge/>
            <w:tcBorders>
              <w:left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Performs few calculations and with limited accuracy.</w:t>
            </w:r>
          </w:p>
        </w:tc>
      </w:tr>
      <w:tr w:rsidR="00C10457" w:rsidRPr="00042703" w:rsidTr="00C8333A">
        <w:trPr>
          <w:trHeight w:val="340"/>
        </w:trPr>
        <w:tc>
          <w:tcPr>
            <w:tcW w:w="993" w:type="dxa"/>
            <w:vMerge/>
            <w:tcBorders>
              <w:left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Provides a limited description of some economic concepts.</w:t>
            </w:r>
          </w:p>
        </w:tc>
      </w:tr>
      <w:tr w:rsidR="00C10457" w:rsidRPr="00042703" w:rsidTr="00C8333A">
        <w:trPr>
          <w:trHeight w:val="340"/>
        </w:trPr>
        <w:tc>
          <w:tcPr>
            <w:tcW w:w="993" w:type="dxa"/>
            <w:vMerge/>
            <w:tcBorders>
              <w:left w:val="single" w:sz="4" w:space="0" w:color="9688BE"/>
              <w:bottom w:val="single" w:sz="4" w:space="0" w:color="9688BE"/>
              <w:right w:val="single" w:sz="4" w:space="0" w:color="9688BE"/>
            </w:tcBorders>
            <w:shd w:val="clear" w:color="auto" w:fill="9688BE" w:themeFill="accent4"/>
          </w:tcPr>
          <w:p w:rsidR="00C10457" w:rsidRPr="00042703" w:rsidRDefault="00C10457" w:rsidP="000539AC">
            <w:pPr>
              <w:spacing w:line="276" w:lineRule="auto"/>
              <w:rPr>
                <w:rFonts w:cs="Arial"/>
                <w:color w:val="000000"/>
                <w:sz w:val="16"/>
                <w:szCs w:val="16"/>
              </w:rPr>
            </w:pPr>
          </w:p>
        </w:tc>
        <w:tc>
          <w:tcPr>
            <w:tcW w:w="8906" w:type="dxa"/>
            <w:tcBorders>
              <w:left w:val="single" w:sz="4" w:space="0" w:color="9688BE"/>
            </w:tcBorders>
            <w:vAlign w:val="center"/>
          </w:tcPr>
          <w:p w:rsidR="00C10457" w:rsidRPr="00852D24" w:rsidRDefault="00852D24" w:rsidP="00C8333A">
            <w:pPr>
              <w:spacing w:after="0" w:line="276" w:lineRule="auto"/>
              <w:rPr>
                <w:rFonts w:cs="Calibri"/>
                <w:sz w:val="20"/>
                <w:szCs w:val="20"/>
              </w:rPr>
            </w:pPr>
            <w:r w:rsidRPr="00852D24">
              <w:rPr>
                <w:rFonts w:eastAsia="Times New Roman" w:cs="Calibri"/>
                <w:sz w:val="20"/>
                <w:szCs w:val="20"/>
              </w:rPr>
              <w:t>Communicates in a superficial manner</w:t>
            </w:r>
            <w:r w:rsidR="00F36DD0">
              <w:rPr>
                <w:rFonts w:eastAsia="Times New Roman" w:cs="Calibri"/>
                <w:sz w:val="20"/>
                <w:szCs w:val="20"/>
              </w:rPr>
              <w:t>,</w:t>
            </w:r>
            <w:r w:rsidRPr="00852D24">
              <w:rPr>
                <w:rFonts w:eastAsia="Times New Roman" w:cs="Calibri"/>
                <w:sz w:val="20"/>
                <w:szCs w:val="20"/>
              </w:rPr>
              <w:t xml:space="preserve"> using very limited economic terminology and minimal to no data.</w:t>
            </w:r>
          </w:p>
        </w:tc>
      </w:tr>
    </w:tbl>
    <w:p w:rsidR="00C10457" w:rsidRPr="00215818" w:rsidRDefault="00C10457" w:rsidP="000539AC">
      <w:pPr>
        <w:spacing w:after="0" w:line="276" w:lineRule="auto"/>
        <w:rPr>
          <w:sz w:val="18"/>
        </w:rPr>
      </w:pPr>
    </w:p>
    <w:tbl>
      <w:tblPr>
        <w:tblW w:w="989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906"/>
      </w:tblGrid>
      <w:tr w:rsidR="00215818" w:rsidRPr="00F065F0" w:rsidTr="00C8333A">
        <w:trPr>
          <w:trHeight w:val="740"/>
        </w:trPr>
        <w:tc>
          <w:tcPr>
            <w:tcW w:w="993" w:type="dxa"/>
            <w:tcBorders>
              <w:top w:val="single" w:sz="4" w:space="0" w:color="9688BE"/>
              <w:left w:val="single" w:sz="4" w:space="0" w:color="9688BE"/>
              <w:bottom w:val="single" w:sz="4" w:space="0" w:color="9688BE"/>
              <w:right w:val="single" w:sz="4" w:space="0" w:color="9688BE"/>
            </w:tcBorders>
            <w:shd w:val="clear" w:color="auto" w:fill="9688BE"/>
            <w:vAlign w:val="center"/>
          </w:tcPr>
          <w:bookmarkEnd w:id="28"/>
          <w:bookmarkEnd w:id="38"/>
          <w:bookmarkEnd w:id="39"/>
          <w:p w:rsidR="00215818" w:rsidRPr="00F065F0" w:rsidRDefault="00215818" w:rsidP="000539AC">
            <w:pPr>
              <w:spacing w:after="0" w:line="276" w:lineRule="auto"/>
              <w:jc w:val="center"/>
              <w:rPr>
                <w:rFonts w:eastAsia="Times New Roman" w:cs="Arial"/>
                <w:b/>
                <w:color w:val="FFFFFF"/>
                <w:sz w:val="40"/>
                <w:szCs w:val="40"/>
              </w:rPr>
            </w:pPr>
            <w:r w:rsidRPr="00F065F0">
              <w:rPr>
                <w:rFonts w:eastAsia="Times New Roman" w:cs="Arial"/>
                <w:b/>
                <w:color w:val="FFFFFF"/>
                <w:sz w:val="40"/>
                <w:szCs w:val="40"/>
              </w:rPr>
              <w:t>E</w:t>
            </w:r>
          </w:p>
        </w:tc>
        <w:tc>
          <w:tcPr>
            <w:tcW w:w="8906" w:type="dxa"/>
            <w:tcBorders>
              <w:left w:val="single" w:sz="4" w:space="0" w:color="9688BE"/>
            </w:tcBorders>
            <w:vAlign w:val="center"/>
          </w:tcPr>
          <w:p w:rsidR="00215818" w:rsidRPr="00F065F0" w:rsidRDefault="00215818" w:rsidP="00C8333A">
            <w:pPr>
              <w:spacing w:after="0" w:line="276" w:lineRule="auto"/>
              <w:rPr>
                <w:rFonts w:eastAsia="Times New Roman" w:cs="Calibri"/>
                <w:sz w:val="20"/>
                <w:szCs w:val="20"/>
              </w:rPr>
            </w:pPr>
            <w:r>
              <w:rPr>
                <w:rFonts w:eastAsia="Times New Roman" w:cs="Times New Roman"/>
                <w:sz w:val="20"/>
                <w:szCs w:val="20"/>
              </w:rPr>
              <w:t>Does not meet the requirements of a D grade and/or has completed insufficient assessment tasks to be assigned a higher grade.</w:t>
            </w:r>
          </w:p>
        </w:tc>
      </w:tr>
    </w:tbl>
    <w:p w:rsidR="00416C3D" w:rsidRPr="00042703" w:rsidRDefault="00416C3D" w:rsidP="00216D89">
      <w:pPr>
        <w:pStyle w:val="Paragraph"/>
      </w:pPr>
    </w:p>
    <w:sectPr w:rsidR="00416C3D" w:rsidRPr="00042703" w:rsidSect="009C7C11">
      <w:headerReference w:type="default" r:id="rId17"/>
      <w:footerReference w:type="default" r:id="rId18"/>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16" w:rsidRDefault="00C64316" w:rsidP="00742128">
      <w:pPr>
        <w:spacing w:after="0" w:line="240" w:lineRule="auto"/>
      </w:pPr>
      <w:r>
        <w:separator/>
      </w:r>
    </w:p>
    <w:p w:rsidR="00C64316" w:rsidRDefault="00C64316"/>
  </w:endnote>
  <w:endnote w:type="continuationSeparator" w:id="0">
    <w:p w:rsidR="00C64316" w:rsidRDefault="00C64316" w:rsidP="00742128">
      <w:pPr>
        <w:spacing w:after="0" w:line="240" w:lineRule="auto"/>
      </w:pPr>
      <w:r>
        <w:continuationSeparator/>
      </w:r>
    </w:p>
    <w:p w:rsidR="00C64316" w:rsidRDefault="00C64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16" w:rsidRPr="008324A6" w:rsidRDefault="00C64316"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2013/45128</w:t>
    </w:r>
    <w:r w:rsidR="005549A4">
      <w:rPr>
        <w:rFonts w:ascii="Franklin Gothic Book" w:hAnsi="Franklin Gothic Book"/>
        <w:noProof/>
        <w:color w:val="342568" w:themeColor="accent1" w:themeShade="BF"/>
        <w:sz w:val="16"/>
        <w:szCs w:val="16"/>
      </w:rPr>
      <w:t>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16" w:rsidRPr="008548F9" w:rsidRDefault="00C64316" w:rsidP="008548F9">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Economics | General</w:t>
    </w:r>
    <w:r w:rsidRPr="00630C74">
      <w:t xml:space="preserve"> </w:t>
    </w:r>
    <w:r>
      <w:rPr>
        <w:rFonts w:ascii="Franklin Gothic Book" w:hAnsi="Franklin Gothic Book"/>
        <w:b/>
        <w:noProof/>
        <w:color w:val="342568" w:themeColor="accent1" w:themeShade="BF"/>
        <w:sz w:val="18"/>
      </w:rPr>
      <w:t>| Year 11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16" w:rsidRPr="009C7C11" w:rsidRDefault="00C64316" w:rsidP="009C7C11">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Economics | General</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16" w:rsidRDefault="00C64316" w:rsidP="00742128">
      <w:pPr>
        <w:spacing w:after="0" w:line="240" w:lineRule="auto"/>
      </w:pPr>
      <w:r>
        <w:separator/>
      </w:r>
    </w:p>
    <w:p w:rsidR="00C64316" w:rsidRDefault="00C64316"/>
  </w:footnote>
  <w:footnote w:type="continuationSeparator" w:id="0">
    <w:p w:rsidR="00C64316" w:rsidRDefault="00C64316" w:rsidP="00742128">
      <w:pPr>
        <w:spacing w:after="0" w:line="240" w:lineRule="auto"/>
      </w:pPr>
      <w:r>
        <w:continuationSeparator/>
      </w:r>
    </w:p>
    <w:p w:rsidR="00C64316" w:rsidRDefault="00C643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6" w:type="dxa"/>
      <w:tblLook w:val="04A0" w:firstRow="1" w:lastRow="0" w:firstColumn="1" w:lastColumn="0" w:noHBand="0" w:noVBand="1"/>
    </w:tblPr>
    <w:tblGrid>
      <w:gridCol w:w="9966"/>
    </w:tblGrid>
    <w:tr w:rsidR="00C64316" w:rsidRPr="00F35D7C" w:rsidTr="00917653">
      <w:tc>
        <w:tcPr>
          <w:tcW w:w="9966" w:type="dxa"/>
          <w:shd w:val="clear" w:color="auto" w:fill="auto"/>
        </w:tcPr>
        <w:p w:rsidR="00C64316" w:rsidRPr="00F35D7C" w:rsidRDefault="009C304B" w:rsidP="004D2A7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227A78A5" wp14:editId="4F731454">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r>
  </w:tbl>
  <w:p w:rsidR="00C64316" w:rsidRDefault="00C64316" w:rsidP="004D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16" w:rsidRPr="001567D0" w:rsidRDefault="00C64316"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B362C4">
      <w:rPr>
        <w:rFonts w:ascii="Franklin Gothic Book" w:hAnsi="Franklin Gothic Book"/>
        <w:b/>
        <w:noProof/>
        <w:color w:val="46328C" w:themeColor="accent1"/>
        <w:sz w:val="32"/>
      </w:rPr>
      <w:t>14</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16" w:rsidRPr="009C7C11" w:rsidRDefault="00C64316" w:rsidP="009C7C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16" w:rsidRDefault="00C643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16" w:rsidRPr="008A0EDC" w:rsidRDefault="00C64316" w:rsidP="008A0EDC">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B362C4">
      <w:rPr>
        <w:rFonts w:ascii="Franklin Gothic Book" w:hAnsi="Franklin Gothic Book"/>
        <w:b/>
        <w:noProof/>
        <w:color w:val="46328C" w:themeColor="accent1"/>
        <w:sz w:val="32"/>
      </w:rPr>
      <w:t>13</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B20632"/>
    <w:multiLevelType w:val="hybridMultilevel"/>
    <w:tmpl w:val="A0DA68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643C45"/>
    <w:multiLevelType w:val="hybridMultilevel"/>
    <w:tmpl w:val="B07E88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A655583"/>
    <w:multiLevelType w:val="hybridMultilevel"/>
    <w:tmpl w:val="AB322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415161"/>
    <w:multiLevelType w:val="hybridMultilevel"/>
    <w:tmpl w:val="7F1CD2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B2C5FA1"/>
    <w:multiLevelType w:val="hybridMultilevel"/>
    <w:tmpl w:val="CEB6A3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1278A"/>
    <w:multiLevelType w:val="hybridMultilevel"/>
    <w:tmpl w:val="1C08D590"/>
    <w:lvl w:ilvl="0" w:tplc="AE8E01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2160" w:hanging="360"/>
      </w:pPr>
      <w:rPr>
        <w:rFonts w:ascii="Wingdings" w:hAnsi="Wingdings" w:hint="default"/>
        <w:sz w:val="20"/>
        <w:szCs w:val="20"/>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416FEF"/>
    <w:multiLevelType w:val="multilevel"/>
    <w:tmpl w:val="D0943B12"/>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93E2D2B"/>
    <w:multiLevelType w:val="hybridMultilevel"/>
    <w:tmpl w:val="440C002C"/>
    <w:lvl w:ilvl="0" w:tplc="F84879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4765E"/>
    <w:multiLevelType w:val="hybridMultilevel"/>
    <w:tmpl w:val="FBAC9C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64345A4"/>
    <w:multiLevelType w:val="hybridMultilevel"/>
    <w:tmpl w:val="AC06F0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62B00"/>
    <w:multiLevelType w:val="singleLevel"/>
    <w:tmpl w:val="FB26AA9E"/>
    <w:lvl w:ilvl="0">
      <w:numFmt w:val="decimal"/>
      <w:pStyle w:val="csbullet"/>
      <w:lvlText w:val=""/>
      <w:lvlJc w:val="left"/>
    </w:lvl>
  </w:abstractNum>
  <w:abstractNum w:abstractNumId="26" w15:restartNumberingAfterBreak="0">
    <w:nsid w:val="4C3D17CB"/>
    <w:multiLevelType w:val="hybridMultilevel"/>
    <w:tmpl w:val="DDE09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9E4F71"/>
    <w:multiLevelType w:val="hybridMultilevel"/>
    <w:tmpl w:val="CEC85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892369"/>
    <w:multiLevelType w:val="multilevel"/>
    <w:tmpl w:val="041CF0E6"/>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9" w15:restartNumberingAfterBreak="0">
    <w:nsid w:val="5D6827B3"/>
    <w:multiLevelType w:val="hybridMultilevel"/>
    <w:tmpl w:val="59988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5635942"/>
    <w:multiLevelType w:val="hybridMultilevel"/>
    <w:tmpl w:val="097C1B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FF4E17"/>
    <w:multiLevelType w:val="hybridMultilevel"/>
    <w:tmpl w:val="0A047D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58537CF"/>
    <w:multiLevelType w:val="hybridMultilevel"/>
    <w:tmpl w:val="92D47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5F0507A"/>
    <w:multiLevelType w:val="hybridMultilevel"/>
    <w:tmpl w:val="2FA2C3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995EAB"/>
    <w:multiLevelType w:val="hybridMultilevel"/>
    <w:tmpl w:val="23F84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E43CAF"/>
    <w:multiLevelType w:val="hybridMultilevel"/>
    <w:tmpl w:val="9EDC0A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F430DF9"/>
    <w:multiLevelType w:val="hybridMultilevel"/>
    <w:tmpl w:val="78D03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35"/>
  </w:num>
  <w:num w:numId="3">
    <w:abstractNumId w:val="15"/>
  </w:num>
  <w:num w:numId="4">
    <w:abstractNumId w:val="10"/>
  </w:num>
  <w:num w:numId="5">
    <w:abstractNumId w:val="1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8"/>
  </w:num>
  <w:num w:numId="17">
    <w:abstractNumId w:val="24"/>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3"/>
  </w:num>
  <w:num w:numId="22">
    <w:abstractNumId w:val="21"/>
  </w:num>
  <w:num w:numId="23">
    <w:abstractNumId w:val="37"/>
  </w:num>
  <w:num w:numId="24">
    <w:abstractNumId w:val="17"/>
  </w:num>
  <w:num w:numId="25">
    <w:abstractNumId w:val="32"/>
  </w:num>
  <w:num w:numId="26">
    <w:abstractNumId w:val="22"/>
  </w:num>
  <w:num w:numId="27">
    <w:abstractNumId w:val="28"/>
  </w:num>
  <w:num w:numId="28">
    <w:abstractNumId w:val="11"/>
  </w:num>
  <w:num w:numId="29">
    <w:abstractNumId w:val="20"/>
  </w:num>
  <w:num w:numId="30">
    <w:abstractNumId w:val="13"/>
  </w:num>
  <w:num w:numId="31">
    <w:abstractNumId w:val="19"/>
  </w:num>
  <w:num w:numId="32">
    <w:abstractNumId w:val="16"/>
  </w:num>
  <w:num w:numId="33">
    <w:abstractNumId w:val="14"/>
  </w:num>
  <w:num w:numId="34">
    <w:abstractNumId w:val="29"/>
  </w:num>
  <w:num w:numId="35">
    <w:abstractNumId w:val="33"/>
  </w:num>
  <w:num w:numId="36">
    <w:abstractNumId w:val="38"/>
  </w:num>
  <w:num w:numId="37">
    <w:abstractNumId w:val="30"/>
  </w:num>
  <w:num w:numId="38">
    <w:abstractNumId w:val="11"/>
  </w:num>
  <w:num w:numId="39">
    <w:abstractNumId w:val="21"/>
  </w:num>
  <w:num w:numId="40">
    <w:abstractNumId w:val="21"/>
  </w:num>
  <w:num w:numId="41">
    <w:abstractNumId w:val="21"/>
  </w:num>
  <w:num w:numId="42">
    <w:abstractNumId w:val="21"/>
  </w:num>
  <w:num w:numId="43">
    <w:abstractNumId w:val="34"/>
  </w:num>
  <w:num w:numId="44">
    <w:abstractNumId w:val="27"/>
  </w:num>
  <w:num w:numId="45">
    <w:abstractNumId w:val="2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17D9C"/>
    <w:rsid w:val="000212D4"/>
    <w:rsid w:val="0002336A"/>
    <w:rsid w:val="00042703"/>
    <w:rsid w:val="000434FB"/>
    <w:rsid w:val="000439B5"/>
    <w:rsid w:val="0004710A"/>
    <w:rsid w:val="000539AC"/>
    <w:rsid w:val="0005635C"/>
    <w:rsid w:val="0009024C"/>
    <w:rsid w:val="00092C70"/>
    <w:rsid w:val="000A023F"/>
    <w:rsid w:val="000A4006"/>
    <w:rsid w:val="000A6ABE"/>
    <w:rsid w:val="000B07ED"/>
    <w:rsid w:val="000B5299"/>
    <w:rsid w:val="000C4029"/>
    <w:rsid w:val="000C56BF"/>
    <w:rsid w:val="000C6AF1"/>
    <w:rsid w:val="000D1019"/>
    <w:rsid w:val="000D5752"/>
    <w:rsid w:val="000F404F"/>
    <w:rsid w:val="000F62AA"/>
    <w:rsid w:val="00102AB4"/>
    <w:rsid w:val="00112C23"/>
    <w:rsid w:val="00116223"/>
    <w:rsid w:val="0013465E"/>
    <w:rsid w:val="001360BF"/>
    <w:rsid w:val="001451B9"/>
    <w:rsid w:val="00151DC5"/>
    <w:rsid w:val="001567D0"/>
    <w:rsid w:val="00157E06"/>
    <w:rsid w:val="00167B95"/>
    <w:rsid w:val="00181895"/>
    <w:rsid w:val="0019340B"/>
    <w:rsid w:val="001A2944"/>
    <w:rsid w:val="001A7DBB"/>
    <w:rsid w:val="001B379A"/>
    <w:rsid w:val="001C01D7"/>
    <w:rsid w:val="001D1413"/>
    <w:rsid w:val="001D76C5"/>
    <w:rsid w:val="001F6467"/>
    <w:rsid w:val="002031E9"/>
    <w:rsid w:val="0021393C"/>
    <w:rsid w:val="00215818"/>
    <w:rsid w:val="00216D89"/>
    <w:rsid w:val="0024211B"/>
    <w:rsid w:val="00263730"/>
    <w:rsid w:val="00265117"/>
    <w:rsid w:val="00270163"/>
    <w:rsid w:val="00282977"/>
    <w:rsid w:val="00285893"/>
    <w:rsid w:val="0029038D"/>
    <w:rsid w:val="00290C4A"/>
    <w:rsid w:val="0029707C"/>
    <w:rsid w:val="002A471E"/>
    <w:rsid w:val="002B57DA"/>
    <w:rsid w:val="002B5EC8"/>
    <w:rsid w:val="002B6A0F"/>
    <w:rsid w:val="002B6FEE"/>
    <w:rsid w:val="002C05E5"/>
    <w:rsid w:val="002C234E"/>
    <w:rsid w:val="002C386C"/>
    <w:rsid w:val="002D33A3"/>
    <w:rsid w:val="002E5BC0"/>
    <w:rsid w:val="002E78F4"/>
    <w:rsid w:val="002F0544"/>
    <w:rsid w:val="002F10DB"/>
    <w:rsid w:val="002F41D0"/>
    <w:rsid w:val="002F52CA"/>
    <w:rsid w:val="00304E41"/>
    <w:rsid w:val="003056A4"/>
    <w:rsid w:val="00306C56"/>
    <w:rsid w:val="00317D45"/>
    <w:rsid w:val="003219A5"/>
    <w:rsid w:val="00340A9B"/>
    <w:rsid w:val="00346E25"/>
    <w:rsid w:val="003574F1"/>
    <w:rsid w:val="0036440F"/>
    <w:rsid w:val="00374C77"/>
    <w:rsid w:val="003761FE"/>
    <w:rsid w:val="0038541F"/>
    <w:rsid w:val="00387500"/>
    <w:rsid w:val="00387705"/>
    <w:rsid w:val="00397DE8"/>
    <w:rsid w:val="003A0A64"/>
    <w:rsid w:val="003A36D4"/>
    <w:rsid w:val="003A732B"/>
    <w:rsid w:val="003B6930"/>
    <w:rsid w:val="003C4992"/>
    <w:rsid w:val="003D3CBD"/>
    <w:rsid w:val="003F14E7"/>
    <w:rsid w:val="003F54AC"/>
    <w:rsid w:val="00401E19"/>
    <w:rsid w:val="00403078"/>
    <w:rsid w:val="00412F94"/>
    <w:rsid w:val="00413C8C"/>
    <w:rsid w:val="00416C3D"/>
    <w:rsid w:val="004227C0"/>
    <w:rsid w:val="0043620D"/>
    <w:rsid w:val="00442824"/>
    <w:rsid w:val="00445F2C"/>
    <w:rsid w:val="0044627A"/>
    <w:rsid w:val="00466D3C"/>
    <w:rsid w:val="00492C50"/>
    <w:rsid w:val="004B14BE"/>
    <w:rsid w:val="004B7DB5"/>
    <w:rsid w:val="004D1266"/>
    <w:rsid w:val="004D2A71"/>
    <w:rsid w:val="004E101C"/>
    <w:rsid w:val="004F7DA2"/>
    <w:rsid w:val="00504046"/>
    <w:rsid w:val="00516CCF"/>
    <w:rsid w:val="005335D5"/>
    <w:rsid w:val="005371C1"/>
    <w:rsid w:val="00540775"/>
    <w:rsid w:val="005549A4"/>
    <w:rsid w:val="00554AC8"/>
    <w:rsid w:val="0056610D"/>
    <w:rsid w:val="005779B0"/>
    <w:rsid w:val="00586771"/>
    <w:rsid w:val="00590B91"/>
    <w:rsid w:val="00592F9D"/>
    <w:rsid w:val="00593EFF"/>
    <w:rsid w:val="005A2AEF"/>
    <w:rsid w:val="005B1629"/>
    <w:rsid w:val="005B6921"/>
    <w:rsid w:val="005C169A"/>
    <w:rsid w:val="005C74DE"/>
    <w:rsid w:val="005D1BB3"/>
    <w:rsid w:val="005E18DA"/>
    <w:rsid w:val="005E26A0"/>
    <w:rsid w:val="005E4338"/>
    <w:rsid w:val="005E6287"/>
    <w:rsid w:val="005F2103"/>
    <w:rsid w:val="0060245A"/>
    <w:rsid w:val="006056D8"/>
    <w:rsid w:val="00630C3D"/>
    <w:rsid w:val="00630C74"/>
    <w:rsid w:val="00631769"/>
    <w:rsid w:val="00637F0D"/>
    <w:rsid w:val="006516FF"/>
    <w:rsid w:val="00663904"/>
    <w:rsid w:val="00665738"/>
    <w:rsid w:val="00666FEB"/>
    <w:rsid w:val="006748E6"/>
    <w:rsid w:val="00676639"/>
    <w:rsid w:val="00681253"/>
    <w:rsid w:val="006852EA"/>
    <w:rsid w:val="00691A72"/>
    <w:rsid w:val="00693261"/>
    <w:rsid w:val="006A0088"/>
    <w:rsid w:val="006B2D87"/>
    <w:rsid w:val="006C085D"/>
    <w:rsid w:val="006D2B4A"/>
    <w:rsid w:val="006E1D80"/>
    <w:rsid w:val="006E27F0"/>
    <w:rsid w:val="006E4008"/>
    <w:rsid w:val="0070206B"/>
    <w:rsid w:val="0070611F"/>
    <w:rsid w:val="00716474"/>
    <w:rsid w:val="00737E63"/>
    <w:rsid w:val="00742128"/>
    <w:rsid w:val="00745E9B"/>
    <w:rsid w:val="00784B46"/>
    <w:rsid w:val="00785BCB"/>
    <w:rsid w:val="00792029"/>
    <w:rsid w:val="00793207"/>
    <w:rsid w:val="007A1E8D"/>
    <w:rsid w:val="007A4519"/>
    <w:rsid w:val="007B19D2"/>
    <w:rsid w:val="007E5A37"/>
    <w:rsid w:val="007F6BBB"/>
    <w:rsid w:val="007F70C7"/>
    <w:rsid w:val="008079E9"/>
    <w:rsid w:val="008324A6"/>
    <w:rsid w:val="0084478A"/>
    <w:rsid w:val="00846AF5"/>
    <w:rsid w:val="00852D24"/>
    <w:rsid w:val="008542B1"/>
    <w:rsid w:val="008548F9"/>
    <w:rsid w:val="00862491"/>
    <w:rsid w:val="008669DF"/>
    <w:rsid w:val="0088053A"/>
    <w:rsid w:val="00890076"/>
    <w:rsid w:val="008931DA"/>
    <w:rsid w:val="00894ABF"/>
    <w:rsid w:val="008A0C3D"/>
    <w:rsid w:val="008A0EDC"/>
    <w:rsid w:val="008A7555"/>
    <w:rsid w:val="008B0D44"/>
    <w:rsid w:val="008B7E23"/>
    <w:rsid w:val="008B7F1D"/>
    <w:rsid w:val="008D2728"/>
    <w:rsid w:val="008D39C9"/>
    <w:rsid w:val="008E144B"/>
    <w:rsid w:val="008E5456"/>
    <w:rsid w:val="008E6F07"/>
    <w:rsid w:val="008E7D33"/>
    <w:rsid w:val="008F1102"/>
    <w:rsid w:val="008F15C7"/>
    <w:rsid w:val="008F35BD"/>
    <w:rsid w:val="00904BFC"/>
    <w:rsid w:val="00912FE8"/>
    <w:rsid w:val="00913DEC"/>
    <w:rsid w:val="00917653"/>
    <w:rsid w:val="009356D1"/>
    <w:rsid w:val="0094007F"/>
    <w:rsid w:val="00945408"/>
    <w:rsid w:val="00955E93"/>
    <w:rsid w:val="00964696"/>
    <w:rsid w:val="00972511"/>
    <w:rsid w:val="009732C7"/>
    <w:rsid w:val="0098134C"/>
    <w:rsid w:val="0099315B"/>
    <w:rsid w:val="009C304B"/>
    <w:rsid w:val="009C4F8C"/>
    <w:rsid w:val="009C7C11"/>
    <w:rsid w:val="009D4A6D"/>
    <w:rsid w:val="009D4A76"/>
    <w:rsid w:val="009E2A22"/>
    <w:rsid w:val="00A1105E"/>
    <w:rsid w:val="00A24944"/>
    <w:rsid w:val="00A258EF"/>
    <w:rsid w:val="00A31D25"/>
    <w:rsid w:val="00A33388"/>
    <w:rsid w:val="00A36186"/>
    <w:rsid w:val="00A415FD"/>
    <w:rsid w:val="00A44A86"/>
    <w:rsid w:val="00A50E25"/>
    <w:rsid w:val="00A6546E"/>
    <w:rsid w:val="00A722B0"/>
    <w:rsid w:val="00A743FD"/>
    <w:rsid w:val="00A877D6"/>
    <w:rsid w:val="00AB0204"/>
    <w:rsid w:val="00AC7868"/>
    <w:rsid w:val="00AD04A3"/>
    <w:rsid w:val="00AD2A13"/>
    <w:rsid w:val="00AE0CDE"/>
    <w:rsid w:val="00AE57D9"/>
    <w:rsid w:val="00B005E7"/>
    <w:rsid w:val="00B04173"/>
    <w:rsid w:val="00B0469B"/>
    <w:rsid w:val="00B04F11"/>
    <w:rsid w:val="00B13C8F"/>
    <w:rsid w:val="00B16772"/>
    <w:rsid w:val="00B20454"/>
    <w:rsid w:val="00B20776"/>
    <w:rsid w:val="00B22F69"/>
    <w:rsid w:val="00B27149"/>
    <w:rsid w:val="00B31B43"/>
    <w:rsid w:val="00B33865"/>
    <w:rsid w:val="00B362C4"/>
    <w:rsid w:val="00B44993"/>
    <w:rsid w:val="00B46973"/>
    <w:rsid w:val="00B5583F"/>
    <w:rsid w:val="00B5784E"/>
    <w:rsid w:val="00B71374"/>
    <w:rsid w:val="00B73C23"/>
    <w:rsid w:val="00B9153B"/>
    <w:rsid w:val="00B935B0"/>
    <w:rsid w:val="00BA591F"/>
    <w:rsid w:val="00BB4454"/>
    <w:rsid w:val="00BB621D"/>
    <w:rsid w:val="00BB6A63"/>
    <w:rsid w:val="00BB7CC4"/>
    <w:rsid w:val="00BC1F96"/>
    <w:rsid w:val="00BC6504"/>
    <w:rsid w:val="00BD0125"/>
    <w:rsid w:val="00BD43D7"/>
    <w:rsid w:val="00BD4A79"/>
    <w:rsid w:val="00BE36BD"/>
    <w:rsid w:val="00C02704"/>
    <w:rsid w:val="00C10457"/>
    <w:rsid w:val="00C1764E"/>
    <w:rsid w:val="00C22E3E"/>
    <w:rsid w:val="00C24F89"/>
    <w:rsid w:val="00C25A1C"/>
    <w:rsid w:val="00C370B6"/>
    <w:rsid w:val="00C4097A"/>
    <w:rsid w:val="00C43A9A"/>
    <w:rsid w:val="00C51F9A"/>
    <w:rsid w:val="00C56B3A"/>
    <w:rsid w:val="00C5718F"/>
    <w:rsid w:val="00C57CDD"/>
    <w:rsid w:val="00C61FE9"/>
    <w:rsid w:val="00C64316"/>
    <w:rsid w:val="00C72B40"/>
    <w:rsid w:val="00C72B95"/>
    <w:rsid w:val="00C75795"/>
    <w:rsid w:val="00C8333A"/>
    <w:rsid w:val="00C858E6"/>
    <w:rsid w:val="00CA51CE"/>
    <w:rsid w:val="00CD13FA"/>
    <w:rsid w:val="00CD3839"/>
    <w:rsid w:val="00CE0E01"/>
    <w:rsid w:val="00CE4CE1"/>
    <w:rsid w:val="00CF6AB8"/>
    <w:rsid w:val="00D0093B"/>
    <w:rsid w:val="00D0711B"/>
    <w:rsid w:val="00D10880"/>
    <w:rsid w:val="00D17A5D"/>
    <w:rsid w:val="00D31692"/>
    <w:rsid w:val="00D4683C"/>
    <w:rsid w:val="00D46EA0"/>
    <w:rsid w:val="00D604C7"/>
    <w:rsid w:val="00D65B57"/>
    <w:rsid w:val="00D964B7"/>
    <w:rsid w:val="00DB1A86"/>
    <w:rsid w:val="00DB4B3C"/>
    <w:rsid w:val="00DC3A58"/>
    <w:rsid w:val="00DD03EE"/>
    <w:rsid w:val="00DD1D21"/>
    <w:rsid w:val="00DD51A8"/>
    <w:rsid w:val="00DF0EC8"/>
    <w:rsid w:val="00E00D59"/>
    <w:rsid w:val="00E01252"/>
    <w:rsid w:val="00E1533A"/>
    <w:rsid w:val="00E27EB2"/>
    <w:rsid w:val="00E327A3"/>
    <w:rsid w:val="00E32D95"/>
    <w:rsid w:val="00E343C2"/>
    <w:rsid w:val="00E41C0A"/>
    <w:rsid w:val="00E47FA3"/>
    <w:rsid w:val="00E5522A"/>
    <w:rsid w:val="00E57A9E"/>
    <w:rsid w:val="00E67F43"/>
    <w:rsid w:val="00E71B62"/>
    <w:rsid w:val="00E721B6"/>
    <w:rsid w:val="00E73137"/>
    <w:rsid w:val="00E924D6"/>
    <w:rsid w:val="00E95C87"/>
    <w:rsid w:val="00EA52DA"/>
    <w:rsid w:val="00EB3C04"/>
    <w:rsid w:val="00EC47CD"/>
    <w:rsid w:val="00ED3A00"/>
    <w:rsid w:val="00ED669D"/>
    <w:rsid w:val="00EE1227"/>
    <w:rsid w:val="00EF0533"/>
    <w:rsid w:val="00F27434"/>
    <w:rsid w:val="00F36DD0"/>
    <w:rsid w:val="00F651A4"/>
    <w:rsid w:val="00F74D9B"/>
    <w:rsid w:val="00F8096C"/>
    <w:rsid w:val="00F81088"/>
    <w:rsid w:val="00F83152"/>
    <w:rsid w:val="00F91F14"/>
    <w:rsid w:val="00F9285B"/>
    <w:rsid w:val="00F938C4"/>
    <w:rsid w:val="00FA0805"/>
    <w:rsid w:val="00FA6BA5"/>
    <w:rsid w:val="00FC2705"/>
    <w:rsid w:val="00FE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F5C9612-21C1-4618-BDFD-3C257820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Paragraph"/>
    <w:next w:val="Normal"/>
    <w:link w:val="Heading5Char"/>
    <w:uiPriority w:val="9"/>
    <w:unhideWhenUsed/>
    <w:qFormat/>
    <w:rsid w:val="00D31692"/>
    <w:pPr>
      <w:outlineLvl w:val="4"/>
    </w:pPr>
    <w:rPr>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rsid w:val="00D31692"/>
    <w:rPr>
      <w:rFonts w:eastAsiaTheme="minorHAnsi" w:cs="Calibri"/>
      <w:b/>
      <w:lang w:val="en-US" w:eastAsia="en-AU"/>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549A4"/>
    <w:pPr>
      <w:tabs>
        <w:tab w:val="right" w:leader="dot" w:pos="9736"/>
      </w:tabs>
      <w:spacing w:before="240" w:after="0" w:line="276"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282977"/>
    <w:pPr>
      <w:spacing w:before="120" w:line="276" w:lineRule="auto"/>
    </w:pPr>
    <w:rPr>
      <w:rFonts w:eastAsiaTheme="minorHAnsi" w:cs="Calibri"/>
      <w:lang w:val="en-US" w:eastAsia="en-AU"/>
    </w:rPr>
  </w:style>
  <w:style w:type="character" w:customStyle="1" w:styleId="ParagraphChar">
    <w:name w:val="Paragraph Char"/>
    <w:basedOn w:val="DefaultParagraphFont"/>
    <w:link w:val="Paragraph"/>
    <w:locked/>
    <w:rsid w:val="00282977"/>
    <w:rPr>
      <w:rFonts w:eastAsiaTheme="minorHAnsi" w:cs="Calibri"/>
      <w:lang w:val="en-US" w:eastAsia="en-AU"/>
    </w:rPr>
  </w:style>
  <w:style w:type="paragraph" w:customStyle="1" w:styleId="ListItem">
    <w:name w:val="List Item"/>
    <w:basedOn w:val="Paragraph"/>
    <w:link w:val="ListItemChar"/>
    <w:qFormat/>
    <w:rsid w:val="00BE36BD"/>
    <w:pPr>
      <w:spacing w:after="0"/>
    </w:pPr>
  </w:style>
  <w:style w:type="character" w:customStyle="1" w:styleId="ListItemChar">
    <w:name w:val="List Item Char"/>
    <w:basedOn w:val="DefaultParagraphFont"/>
    <w:link w:val="ListItem"/>
    <w:rsid w:val="00BE36BD"/>
    <w:rPr>
      <w:rFonts w:eastAsiaTheme="minorHAnsi" w:cs="Calibri"/>
      <w:lang w:val="en-US" w:eastAsia="en-AU"/>
    </w:rPr>
  </w:style>
  <w:style w:type="numbering" w:customStyle="1" w:styleId="ListBullets1">
    <w:name w:val="ListBullets1"/>
    <w:uiPriority w:val="99"/>
    <w:rsid w:val="006B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5106">
      <w:bodyDiv w:val="1"/>
      <w:marLeft w:val="0"/>
      <w:marRight w:val="0"/>
      <w:marTop w:val="0"/>
      <w:marBottom w:val="0"/>
      <w:divBdr>
        <w:top w:val="none" w:sz="0" w:space="0" w:color="auto"/>
        <w:left w:val="none" w:sz="0" w:space="0" w:color="auto"/>
        <w:bottom w:val="none" w:sz="0" w:space="0" w:color="auto"/>
        <w:right w:val="none" w:sz="0" w:space="0" w:color="auto"/>
      </w:divBdr>
    </w:div>
    <w:div w:id="75637419">
      <w:bodyDiv w:val="1"/>
      <w:marLeft w:val="0"/>
      <w:marRight w:val="0"/>
      <w:marTop w:val="0"/>
      <w:marBottom w:val="0"/>
      <w:divBdr>
        <w:top w:val="none" w:sz="0" w:space="0" w:color="auto"/>
        <w:left w:val="none" w:sz="0" w:space="0" w:color="auto"/>
        <w:bottom w:val="none" w:sz="0" w:space="0" w:color="auto"/>
        <w:right w:val="none" w:sz="0" w:space="0" w:color="auto"/>
      </w:divBdr>
    </w:div>
    <w:div w:id="180971867">
      <w:bodyDiv w:val="1"/>
      <w:marLeft w:val="0"/>
      <w:marRight w:val="0"/>
      <w:marTop w:val="0"/>
      <w:marBottom w:val="0"/>
      <w:divBdr>
        <w:top w:val="none" w:sz="0" w:space="0" w:color="auto"/>
        <w:left w:val="none" w:sz="0" w:space="0" w:color="auto"/>
        <w:bottom w:val="none" w:sz="0" w:space="0" w:color="auto"/>
        <w:right w:val="none" w:sz="0" w:space="0" w:color="auto"/>
      </w:divBdr>
    </w:div>
    <w:div w:id="184026352">
      <w:bodyDiv w:val="1"/>
      <w:marLeft w:val="0"/>
      <w:marRight w:val="0"/>
      <w:marTop w:val="0"/>
      <w:marBottom w:val="0"/>
      <w:divBdr>
        <w:top w:val="none" w:sz="0" w:space="0" w:color="auto"/>
        <w:left w:val="none" w:sz="0" w:space="0" w:color="auto"/>
        <w:bottom w:val="none" w:sz="0" w:space="0" w:color="auto"/>
        <w:right w:val="none" w:sz="0" w:space="0" w:color="auto"/>
      </w:divBdr>
    </w:div>
    <w:div w:id="259142999">
      <w:bodyDiv w:val="1"/>
      <w:marLeft w:val="0"/>
      <w:marRight w:val="0"/>
      <w:marTop w:val="0"/>
      <w:marBottom w:val="0"/>
      <w:divBdr>
        <w:top w:val="none" w:sz="0" w:space="0" w:color="auto"/>
        <w:left w:val="none" w:sz="0" w:space="0" w:color="auto"/>
        <w:bottom w:val="none" w:sz="0" w:space="0" w:color="auto"/>
        <w:right w:val="none" w:sz="0" w:space="0" w:color="auto"/>
      </w:divBdr>
    </w:div>
    <w:div w:id="274412614">
      <w:bodyDiv w:val="1"/>
      <w:marLeft w:val="0"/>
      <w:marRight w:val="0"/>
      <w:marTop w:val="0"/>
      <w:marBottom w:val="0"/>
      <w:divBdr>
        <w:top w:val="none" w:sz="0" w:space="0" w:color="auto"/>
        <w:left w:val="none" w:sz="0" w:space="0" w:color="auto"/>
        <w:bottom w:val="none" w:sz="0" w:space="0" w:color="auto"/>
        <w:right w:val="none" w:sz="0" w:space="0" w:color="auto"/>
      </w:divBdr>
    </w:div>
    <w:div w:id="427506694">
      <w:bodyDiv w:val="1"/>
      <w:marLeft w:val="0"/>
      <w:marRight w:val="0"/>
      <w:marTop w:val="0"/>
      <w:marBottom w:val="0"/>
      <w:divBdr>
        <w:top w:val="none" w:sz="0" w:space="0" w:color="auto"/>
        <w:left w:val="none" w:sz="0" w:space="0" w:color="auto"/>
        <w:bottom w:val="none" w:sz="0" w:space="0" w:color="auto"/>
        <w:right w:val="none" w:sz="0" w:space="0" w:color="auto"/>
      </w:divBdr>
    </w:div>
    <w:div w:id="565606056">
      <w:bodyDiv w:val="1"/>
      <w:marLeft w:val="0"/>
      <w:marRight w:val="0"/>
      <w:marTop w:val="0"/>
      <w:marBottom w:val="0"/>
      <w:divBdr>
        <w:top w:val="none" w:sz="0" w:space="0" w:color="auto"/>
        <w:left w:val="none" w:sz="0" w:space="0" w:color="auto"/>
        <w:bottom w:val="none" w:sz="0" w:space="0" w:color="auto"/>
        <w:right w:val="none" w:sz="0" w:space="0" w:color="auto"/>
      </w:divBdr>
    </w:div>
    <w:div w:id="649098567">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719089708">
      <w:bodyDiv w:val="1"/>
      <w:marLeft w:val="0"/>
      <w:marRight w:val="0"/>
      <w:marTop w:val="0"/>
      <w:marBottom w:val="0"/>
      <w:divBdr>
        <w:top w:val="none" w:sz="0" w:space="0" w:color="auto"/>
        <w:left w:val="none" w:sz="0" w:space="0" w:color="auto"/>
        <w:bottom w:val="none" w:sz="0" w:space="0" w:color="auto"/>
        <w:right w:val="none" w:sz="0" w:space="0" w:color="auto"/>
      </w:divBdr>
    </w:div>
    <w:div w:id="760880015">
      <w:bodyDiv w:val="1"/>
      <w:marLeft w:val="0"/>
      <w:marRight w:val="0"/>
      <w:marTop w:val="0"/>
      <w:marBottom w:val="0"/>
      <w:divBdr>
        <w:top w:val="none" w:sz="0" w:space="0" w:color="auto"/>
        <w:left w:val="none" w:sz="0" w:space="0" w:color="auto"/>
        <w:bottom w:val="none" w:sz="0" w:space="0" w:color="auto"/>
        <w:right w:val="none" w:sz="0" w:space="0" w:color="auto"/>
      </w:divBdr>
    </w:div>
    <w:div w:id="800467060">
      <w:bodyDiv w:val="1"/>
      <w:marLeft w:val="0"/>
      <w:marRight w:val="0"/>
      <w:marTop w:val="0"/>
      <w:marBottom w:val="0"/>
      <w:divBdr>
        <w:top w:val="none" w:sz="0" w:space="0" w:color="auto"/>
        <w:left w:val="none" w:sz="0" w:space="0" w:color="auto"/>
        <w:bottom w:val="none" w:sz="0" w:space="0" w:color="auto"/>
        <w:right w:val="none" w:sz="0" w:space="0" w:color="auto"/>
      </w:divBdr>
    </w:div>
    <w:div w:id="802650362">
      <w:bodyDiv w:val="1"/>
      <w:marLeft w:val="0"/>
      <w:marRight w:val="0"/>
      <w:marTop w:val="0"/>
      <w:marBottom w:val="0"/>
      <w:divBdr>
        <w:top w:val="none" w:sz="0" w:space="0" w:color="auto"/>
        <w:left w:val="none" w:sz="0" w:space="0" w:color="auto"/>
        <w:bottom w:val="none" w:sz="0" w:space="0" w:color="auto"/>
        <w:right w:val="none" w:sz="0" w:space="0" w:color="auto"/>
      </w:divBdr>
    </w:div>
    <w:div w:id="809596083">
      <w:bodyDiv w:val="1"/>
      <w:marLeft w:val="0"/>
      <w:marRight w:val="0"/>
      <w:marTop w:val="0"/>
      <w:marBottom w:val="0"/>
      <w:divBdr>
        <w:top w:val="none" w:sz="0" w:space="0" w:color="auto"/>
        <w:left w:val="none" w:sz="0" w:space="0" w:color="auto"/>
        <w:bottom w:val="none" w:sz="0" w:space="0" w:color="auto"/>
        <w:right w:val="none" w:sz="0" w:space="0" w:color="auto"/>
      </w:divBdr>
    </w:div>
    <w:div w:id="817306643">
      <w:bodyDiv w:val="1"/>
      <w:marLeft w:val="0"/>
      <w:marRight w:val="0"/>
      <w:marTop w:val="0"/>
      <w:marBottom w:val="0"/>
      <w:divBdr>
        <w:top w:val="none" w:sz="0" w:space="0" w:color="auto"/>
        <w:left w:val="none" w:sz="0" w:space="0" w:color="auto"/>
        <w:bottom w:val="none" w:sz="0" w:space="0" w:color="auto"/>
        <w:right w:val="none" w:sz="0" w:space="0" w:color="auto"/>
      </w:divBdr>
    </w:div>
    <w:div w:id="848756950">
      <w:bodyDiv w:val="1"/>
      <w:marLeft w:val="0"/>
      <w:marRight w:val="0"/>
      <w:marTop w:val="0"/>
      <w:marBottom w:val="0"/>
      <w:divBdr>
        <w:top w:val="none" w:sz="0" w:space="0" w:color="auto"/>
        <w:left w:val="none" w:sz="0" w:space="0" w:color="auto"/>
        <w:bottom w:val="none" w:sz="0" w:space="0" w:color="auto"/>
        <w:right w:val="none" w:sz="0" w:space="0" w:color="auto"/>
      </w:divBdr>
    </w:div>
    <w:div w:id="886453551">
      <w:bodyDiv w:val="1"/>
      <w:marLeft w:val="0"/>
      <w:marRight w:val="0"/>
      <w:marTop w:val="0"/>
      <w:marBottom w:val="0"/>
      <w:divBdr>
        <w:top w:val="none" w:sz="0" w:space="0" w:color="auto"/>
        <w:left w:val="none" w:sz="0" w:space="0" w:color="auto"/>
        <w:bottom w:val="none" w:sz="0" w:space="0" w:color="auto"/>
        <w:right w:val="none" w:sz="0" w:space="0" w:color="auto"/>
      </w:divBdr>
    </w:div>
    <w:div w:id="973751593">
      <w:bodyDiv w:val="1"/>
      <w:marLeft w:val="0"/>
      <w:marRight w:val="0"/>
      <w:marTop w:val="0"/>
      <w:marBottom w:val="0"/>
      <w:divBdr>
        <w:top w:val="none" w:sz="0" w:space="0" w:color="auto"/>
        <w:left w:val="none" w:sz="0" w:space="0" w:color="auto"/>
        <w:bottom w:val="none" w:sz="0" w:space="0" w:color="auto"/>
        <w:right w:val="none" w:sz="0" w:space="0" w:color="auto"/>
      </w:divBdr>
    </w:div>
    <w:div w:id="979267991">
      <w:bodyDiv w:val="1"/>
      <w:marLeft w:val="0"/>
      <w:marRight w:val="0"/>
      <w:marTop w:val="0"/>
      <w:marBottom w:val="0"/>
      <w:divBdr>
        <w:top w:val="none" w:sz="0" w:space="0" w:color="auto"/>
        <w:left w:val="none" w:sz="0" w:space="0" w:color="auto"/>
        <w:bottom w:val="none" w:sz="0" w:space="0" w:color="auto"/>
        <w:right w:val="none" w:sz="0" w:space="0" w:color="auto"/>
      </w:divBdr>
    </w:div>
    <w:div w:id="989094730">
      <w:bodyDiv w:val="1"/>
      <w:marLeft w:val="0"/>
      <w:marRight w:val="0"/>
      <w:marTop w:val="0"/>
      <w:marBottom w:val="0"/>
      <w:divBdr>
        <w:top w:val="none" w:sz="0" w:space="0" w:color="auto"/>
        <w:left w:val="none" w:sz="0" w:space="0" w:color="auto"/>
        <w:bottom w:val="none" w:sz="0" w:space="0" w:color="auto"/>
        <w:right w:val="none" w:sz="0" w:space="0" w:color="auto"/>
      </w:divBdr>
    </w:div>
    <w:div w:id="1055272643">
      <w:bodyDiv w:val="1"/>
      <w:marLeft w:val="0"/>
      <w:marRight w:val="0"/>
      <w:marTop w:val="0"/>
      <w:marBottom w:val="0"/>
      <w:divBdr>
        <w:top w:val="none" w:sz="0" w:space="0" w:color="auto"/>
        <w:left w:val="none" w:sz="0" w:space="0" w:color="auto"/>
        <w:bottom w:val="none" w:sz="0" w:space="0" w:color="auto"/>
        <w:right w:val="none" w:sz="0" w:space="0" w:color="auto"/>
      </w:divBdr>
    </w:div>
    <w:div w:id="1060057300">
      <w:bodyDiv w:val="1"/>
      <w:marLeft w:val="0"/>
      <w:marRight w:val="0"/>
      <w:marTop w:val="0"/>
      <w:marBottom w:val="0"/>
      <w:divBdr>
        <w:top w:val="none" w:sz="0" w:space="0" w:color="auto"/>
        <w:left w:val="none" w:sz="0" w:space="0" w:color="auto"/>
        <w:bottom w:val="none" w:sz="0" w:space="0" w:color="auto"/>
        <w:right w:val="none" w:sz="0" w:space="0" w:color="auto"/>
      </w:divBdr>
    </w:div>
    <w:div w:id="1177302976">
      <w:bodyDiv w:val="1"/>
      <w:marLeft w:val="0"/>
      <w:marRight w:val="0"/>
      <w:marTop w:val="0"/>
      <w:marBottom w:val="0"/>
      <w:divBdr>
        <w:top w:val="none" w:sz="0" w:space="0" w:color="auto"/>
        <w:left w:val="none" w:sz="0" w:space="0" w:color="auto"/>
        <w:bottom w:val="none" w:sz="0" w:space="0" w:color="auto"/>
        <w:right w:val="none" w:sz="0" w:space="0" w:color="auto"/>
      </w:divBdr>
    </w:div>
    <w:div w:id="1191798932">
      <w:bodyDiv w:val="1"/>
      <w:marLeft w:val="0"/>
      <w:marRight w:val="0"/>
      <w:marTop w:val="0"/>
      <w:marBottom w:val="0"/>
      <w:divBdr>
        <w:top w:val="none" w:sz="0" w:space="0" w:color="auto"/>
        <w:left w:val="none" w:sz="0" w:space="0" w:color="auto"/>
        <w:bottom w:val="none" w:sz="0" w:space="0" w:color="auto"/>
        <w:right w:val="none" w:sz="0" w:space="0" w:color="auto"/>
      </w:divBdr>
    </w:div>
    <w:div w:id="1234006272">
      <w:bodyDiv w:val="1"/>
      <w:marLeft w:val="0"/>
      <w:marRight w:val="0"/>
      <w:marTop w:val="0"/>
      <w:marBottom w:val="0"/>
      <w:divBdr>
        <w:top w:val="none" w:sz="0" w:space="0" w:color="auto"/>
        <w:left w:val="none" w:sz="0" w:space="0" w:color="auto"/>
        <w:bottom w:val="none" w:sz="0" w:space="0" w:color="auto"/>
        <w:right w:val="none" w:sz="0" w:space="0" w:color="auto"/>
      </w:divBdr>
    </w:div>
    <w:div w:id="1234386592">
      <w:bodyDiv w:val="1"/>
      <w:marLeft w:val="0"/>
      <w:marRight w:val="0"/>
      <w:marTop w:val="0"/>
      <w:marBottom w:val="0"/>
      <w:divBdr>
        <w:top w:val="none" w:sz="0" w:space="0" w:color="auto"/>
        <w:left w:val="none" w:sz="0" w:space="0" w:color="auto"/>
        <w:bottom w:val="none" w:sz="0" w:space="0" w:color="auto"/>
        <w:right w:val="none" w:sz="0" w:space="0" w:color="auto"/>
      </w:divBdr>
    </w:div>
    <w:div w:id="127926538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5411310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392339107">
      <w:bodyDiv w:val="1"/>
      <w:marLeft w:val="0"/>
      <w:marRight w:val="0"/>
      <w:marTop w:val="0"/>
      <w:marBottom w:val="0"/>
      <w:divBdr>
        <w:top w:val="none" w:sz="0" w:space="0" w:color="auto"/>
        <w:left w:val="none" w:sz="0" w:space="0" w:color="auto"/>
        <w:bottom w:val="none" w:sz="0" w:space="0" w:color="auto"/>
        <w:right w:val="none" w:sz="0" w:space="0" w:color="auto"/>
      </w:divBdr>
    </w:div>
    <w:div w:id="1418672350">
      <w:bodyDiv w:val="1"/>
      <w:marLeft w:val="0"/>
      <w:marRight w:val="0"/>
      <w:marTop w:val="0"/>
      <w:marBottom w:val="0"/>
      <w:divBdr>
        <w:top w:val="none" w:sz="0" w:space="0" w:color="auto"/>
        <w:left w:val="none" w:sz="0" w:space="0" w:color="auto"/>
        <w:bottom w:val="none" w:sz="0" w:space="0" w:color="auto"/>
        <w:right w:val="none" w:sz="0" w:space="0" w:color="auto"/>
      </w:divBdr>
    </w:div>
    <w:div w:id="1491367989">
      <w:bodyDiv w:val="1"/>
      <w:marLeft w:val="0"/>
      <w:marRight w:val="0"/>
      <w:marTop w:val="0"/>
      <w:marBottom w:val="0"/>
      <w:divBdr>
        <w:top w:val="none" w:sz="0" w:space="0" w:color="auto"/>
        <w:left w:val="none" w:sz="0" w:space="0" w:color="auto"/>
        <w:bottom w:val="none" w:sz="0" w:space="0" w:color="auto"/>
        <w:right w:val="none" w:sz="0" w:space="0" w:color="auto"/>
      </w:divBdr>
    </w:div>
    <w:div w:id="1517618189">
      <w:bodyDiv w:val="1"/>
      <w:marLeft w:val="0"/>
      <w:marRight w:val="0"/>
      <w:marTop w:val="0"/>
      <w:marBottom w:val="0"/>
      <w:divBdr>
        <w:top w:val="none" w:sz="0" w:space="0" w:color="auto"/>
        <w:left w:val="none" w:sz="0" w:space="0" w:color="auto"/>
        <w:bottom w:val="none" w:sz="0" w:space="0" w:color="auto"/>
        <w:right w:val="none" w:sz="0" w:space="0" w:color="auto"/>
      </w:divBdr>
    </w:div>
    <w:div w:id="1537692652">
      <w:bodyDiv w:val="1"/>
      <w:marLeft w:val="0"/>
      <w:marRight w:val="0"/>
      <w:marTop w:val="0"/>
      <w:marBottom w:val="0"/>
      <w:divBdr>
        <w:top w:val="none" w:sz="0" w:space="0" w:color="auto"/>
        <w:left w:val="none" w:sz="0" w:space="0" w:color="auto"/>
        <w:bottom w:val="none" w:sz="0" w:space="0" w:color="auto"/>
        <w:right w:val="none" w:sz="0" w:space="0" w:color="auto"/>
      </w:divBdr>
    </w:div>
    <w:div w:id="1580019813">
      <w:bodyDiv w:val="1"/>
      <w:marLeft w:val="0"/>
      <w:marRight w:val="0"/>
      <w:marTop w:val="0"/>
      <w:marBottom w:val="0"/>
      <w:divBdr>
        <w:top w:val="none" w:sz="0" w:space="0" w:color="auto"/>
        <w:left w:val="none" w:sz="0" w:space="0" w:color="auto"/>
        <w:bottom w:val="none" w:sz="0" w:space="0" w:color="auto"/>
        <w:right w:val="none" w:sz="0" w:space="0" w:color="auto"/>
      </w:divBdr>
    </w:div>
    <w:div w:id="1581520008">
      <w:bodyDiv w:val="1"/>
      <w:marLeft w:val="0"/>
      <w:marRight w:val="0"/>
      <w:marTop w:val="0"/>
      <w:marBottom w:val="0"/>
      <w:divBdr>
        <w:top w:val="none" w:sz="0" w:space="0" w:color="auto"/>
        <w:left w:val="none" w:sz="0" w:space="0" w:color="auto"/>
        <w:bottom w:val="none" w:sz="0" w:space="0" w:color="auto"/>
        <w:right w:val="none" w:sz="0" w:space="0" w:color="auto"/>
      </w:divBdr>
    </w:div>
    <w:div w:id="1587692255">
      <w:bodyDiv w:val="1"/>
      <w:marLeft w:val="0"/>
      <w:marRight w:val="0"/>
      <w:marTop w:val="0"/>
      <w:marBottom w:val="0"/>
      <w:divBdr>
        <w:top w:val="none" w:sz="0" w:space="0" w:color="auto"/>
        <w:left w:val="none" w:sz="0" w:space="0" w:color="auto"/>
        <w:bottom w:val="none" w:sz="0" w:space="0" w:color="auto"/>
        <w:right w:val="none" w:sz="0" w:space="0" w:color="auto"/>
      </w:divBdr>
    </w:div>
    <w:div w:id="1649824295">
      <w:bodyDiv w:val="1"/>
      <w:marLeft w:val="0"/>
      <w:marRight w:val="0"/>
      <w:marTop w:val="0"/>
      <w:marBottom w:val="0"/>
      <w:divBdr>
        <w:top w:val="none" w:sz="0" w:space="0" w:color="auto"/>
        <w:left w:val="none" w:sz="0" w:space="0" w:color="auto"/>
        <w:bottom w:val="none" w:sz="0" w:space="0" w:color="auto"/>
        <w:right w:val="none" w:sz="0" w:space="0" w:color="auto"/>
      </w:divBdr>
    </w:div>
    <w:div w:id="1727298074">
      <w:bodyDiv w:val="1"/>
      <w:marLeft w:val="0"/>
      <w:marRight w:val="0"/>
      <w:marTop w:val="0"/>
      <w:marBottom w:val="0"/>
      <w:divBdr>
        <w:top w:val="none" w:sz="0" w:space="0" w:color="auto"/>
        <w:left w:val="none" w:sz="0" w:space="0" w:color="auto"/>
        <w:bottom w:val="none" w:sz="0" w:space="0" w:color="auto"/>
        <w:right w:val="none" w:sz="0" w:space="0" w:color="auto"/>
      </w:divBdr>
    </w:div>
    <w:div w:id="1877546316">
      <w:bodyDiv w:val="1"/>
      <w:marLeft w:val="0"/>
      <w:marRight w:val="0"/>
      <w:marTop w:val="0"/>
      <w:marBottom w:val="0"/>
      <w:divBdr>
        <w:top w:val="none" w:sz="0" w:space="0" w:color="auto"/>
        <w:left w:val="none" w:sz="0" w:space="0" w:color="auto"/>
        <w:bottom w:val="none" w:sz="0" w:space="0" w:color="auto"/>
        <w:right w:val="none" w:sz="0" w:space="0" w:color="auto"/>
      </w:divBdr>
    </w:div>
    <w:div w:id="2024819417">
      <w:bodyDiv w:val="1"/>
      <w:marLeft w:val="0"/>
      <w:marRight w:val="0"/>
      <w:marTop w:val="0"/>
      <w:marBottom w:val="0"/>
      <w:divBdr>
        <w:top w:val="none" w:sz="0" w:space="0" w:color="auto"/>
        <w:left w:val="none" w:sz="0" w:space="0" w:color="auto"/>
        <w:bottom w:val="none" w:sz="0" w:space="0" w:color="auto"/>
        <w:right w:val="none" w:sz="0" w:space="0" w:color="auto"/>
      </w:divBdr>
    </w:div>
    <w:div w:id="2026439822">
      <w:bodyDiv w:val="1"/>
      <w:marLeft w:val="0"/>
      <w:marRight w:val="0"/>
      <w:marTop w:val="0"/>
      <w:marBottom w:val="0"/>
      <w:divBdr>
        <w:top w:val="none" w:sz="0" w:space="0" w:color="auto"/>
        <w:left w:val="none" w:sz="0" w:space="0" w:color="auto"/>
        <w:bottom w:val="none" w:sz="0" w:space="0" w:color="auto"/>
        <w:right w:val="none" w:sz="0" w:space="0" w:color="auto"/>
      </w:divBdr>
    </w:div>
    <w:div w:id="21312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7A6B-12A0-458E-829B-FCCFAAEA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18</Pages>
  <Words>4365</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Karla Nielsen</cp:lastModifiedBy>
  <cp:revision>100</cp:revision>
  <cp:lastPrinted>2014-03-05T06:37:00Z</cp:lastPrinted>
  <dcterms:created xsi:type="dcterms:W3CDTF">2013-11-15T03:43:00Z</dcterms:created>
  <dcterms:modified xsi:type="dcterms:W3CDTF">2018-04-17T02:50:00Z</dcterms:modified>
</cp:coreProperties>
</file>